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D55" w:rsidRPr="00751517" w:rsidRDefault="007C7D55" w:rsidP="007C7D55">
      <w:pPr>
        <w:pStyle w:val="1"/>
        <w:rPr>
          <w:rFonts w:hAnsi="Times New Roman"/>
        </w:rPr>
      </w:pPr>
      <w:bookmarkStart w:id="0" w:name="_Toc292591380"/>
      <w:r w:rsidRPr="007D3851">
        <w:rPr>
          <w:rFonts w:hint="eastAsia"/>
          <w:spacing w:val="8"/>
          <w:w w:val="68"/>
        </w:rPr>
        <w:t>七、財</w:t>
      </w:r>
      <w:r w:rsidRPr="007D3851">
        <w:rPr>
          <w:spacing w:val="8"/>
          <w:w w:val="68"/>
        </w:rPr>
        <w:t>團法人中華民國證券櫃檯買賣中心</w:t>
      </w:r>
      <w:r w:rsidRPr="007D3851">
        <w:rPr>
          <w:rFonts w:ascii="Arial" w:cs="Arial" w:hint="eastAsia"/>
          <w:spacing w:val="8"/>
          <w:w w:val="68"/>
        </w:rPr>
        <w:t>辦理</w:t>
      </w:r>
      <w:r w:rsidRPr="007D3851">
        <w:rPr>
          <w:rFonts w:ascii="Arial" w:cs="Arial"/>
          <w:spacing w:val="8"/>
          <w:w w:val="68"/>
        </w:rPr>
        <w:t>認購</w:t>
      </w:r>
      <w:r w:rsidRPr="007D3851">
        <w:rPr>
          <w:rFonts w:ascii="Arial" w:cs="Arial" w:hint="eastAsia"/>
          <w:spacing w:val="8"/>
          <w:w w:val="68"/>
        </w:rPr>
        <w:t>（</w:t>
      </w:r>
      <w:r w:rsidRPr="007D3851">
        <w:rPr>
          <w:rFonts w:ascii="Arial" w:cs="Arial"/>
          <w:spacing w:val="8"/>
          <w:w w:val="68"/>
        </w:rPr>
        <w:t>售</w:t>
      </w:r>
      <w:r w:rsidRPr="007D3851">
        <w:rPr>
          <w:rFonts w:ascii="Arial" w:cs="Arial" w:hint="eastAsia"/>
          <w:spacing w:val="8"/>
          <w:w w:val="68"/>
        </w:rPr>
        <w:t>）</w:t>
      </w:r>
      <w:r w:rsidRPr="007D3851">
        <w:rPr>
          <w:rFonts w:ascii="Arial" w:cs="Arial"/>
          <w:spacing w:val="8"/>
          <w:w w:val="68"/>
        </w:rPr>
        <w:t>權證</w:t>
      </w:r>
      <w:r w:rsidRPr="007D3851">
        <w:rPr>
          <w:rFonts w:ascii="Arial" w:cs="Arial" w:hint="eastAsia"/>
          <w:spacing w:val="8"/>
          <w:w w:val="68"/>
        </w:rPr>
        <w:t>履約應注意事項第壹點</w:t>
      </w:r>
      <w:r w:rsidRPr="007D3851">
        <w:rPr>
          <w:rFonts w:hAnsi="Times New Roman" w:cs="Arial" w:hint="eastAsia"/>
          <w:spacing w:val="8"/>
          <w:w w:val="68"/>
        </w:rPr>
        <w:t>修正條文對照</w:t>
      </w:r>
      <w:r w:rsidRPr="007D3851">
        <w:rPr>
          <w:rFonts w:hAnsi="Times New Roman" w:cs="Arial" w:hint="eastAsia"/>
          <w:spacing w:val="24"/>
          <w:w w:val="68"/>
        </w:rPr>
        <w:t>表</w:t>
      </w:r>
      <w:bookmarkEnd w:id="0"/>
    </w:p>
    <w:tbl>
      <w:tblPr>
        <w:tblW w:w="10319" w:type="dxa"/>
        <w:jc w:val="center"/>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439"/>
        <w:gridCol w:w="3440"/>
        <w:gridCol w:w="3440"/>
      </w:tblGrid>
      <w:tr w:rsidR="007C7D55" w:rsidRPr="00751517" w:rsidTr="007416FD">
        <w:trPr>
          <w:tblHeader/>
          <w:jc w:val="center"/>
        </w:trPr>
        <w:tc>
          <w:tcPr>
            <w:tcW w:w="3439" w:type="dxa"/>
            <w:tcBorders>
              <w:top w:val="single" w:sz="12" w:space="0" w:color="auto"/>
              <w:bottom w:val="double" w:sz="4" w:space="0" w:color="auto"/>
            </w:tcBorders>
            <w:vAlign w:val="center"/>
          </w:tcPr>
          <w:p w:rsidR="007C7D55" w:rsidRPr="00751517" w:rsidRDefault="007C7D55" w:rsidP="007416FD">
            <w:pPr>
              <w:widowControl/>
              <w:jc w:val="center"/>
              <w:rPr>
                <w:rFonts w:ascii="Times New Roman" w:eastAsia="標楷體" w:hAnsi="Times New Roman" w:cs="新細明體"/>
                <w:bCs/>
                <w:kern w:val="0"/>
                <w:szCs w:val="24"/>
              </w:rPr>
            </w:pPr>
            <w:r w:rsidRPr="00751517">
              <w:rPr>
                <w:rFonts w:ascii="Times New Roman" w:eastAsia="標楷體" w:hAnsi="新細明體" w:cs="新細明體" w:hint="eastAsia"/>
                <w:bCs/>
                <w:kern w:val="0"/>
                <w:szCs w:val="24"/>
              </w:rPr>
              <w:t>修正條文</w:t>
            </w:r>
          </w:p>
        </w:tc>
        <w:tc>
          <w:tcPr>
            <w:tcW w:w="3440" w:type="dxa"/>
            <w:tcBorders>
              <w:top w:val="single" w:sz="12" w:space="0" w:color="auto"/>
              <w:bottom w:val="double" w:sz="4" w:space="0" w:color="auto"/>
            </w:tcBorders>
            <w:vAlign w:val="center"/>
          </w:tcPr>
          <w:p w:rsidR="007C7D55" w:rsidRPr="00751517" w:rsidRDefault="007C7D55" w:rsidP="007416FD">
            <w:pPr>
              <w:widowControl/>
              <w:jc w:val="center"/>
              <w:rPr>
                <w:rFonts w:ascii="Times New Roman" w:eastAsia="標楷體" w:hAnsi="Times New Roman" w:cs="新細明體" w:hint="eastAsia"/>
                <w:bCs/>
                <w:kern w:val="0"/>
                <w:szCs w:val="24"/>
              </w:rPr>
            </w:pPr>
            <w:r w:rsidRPr="00751517">
              <w:rPr>
                <w:rFonts w:ascii="Times New Roman" w:eastAsia="標楷體" w:hint="eastAsia"/>
                <w:bCs/>
                <w:szCs w:val="24"/>
              </w:rPr>
              <w:t>現行條文</w:t>
            </w:r>
          </w:p>
        </w:tc>
        <w:tc>
          <w:tcPr>
            <w:tcW w:w="3440" w:type="dxa"/>
            <w:tcBorders>
              <w:top w:val="single" w:sz="12" w:space="0" w:color="auto"/>
              <w:bottom w:val="double" w:sz="4" w:space="0" w:color="auto"/>
            </w:tcBorders>
          </w:tcPr>
          <w:p w:rsidR="007C7D55" w:rsidRPr="00751517" w:rsidRDefault="007C7D55" w:rsidP="007416FD">
            <w:pPr>
              <w:widowControl/>
              <w:jc w:val="center"/>
              <w:rPr>
                <w:rFonts w:ascii="Times New Roman" w:eastAsia="標楷體" w:hAnsi="新細明體" w:cs="新細明體"/>
                <w:bCs/>
                <w:kern w:val="0"/>
              </w:rPr>
            </w:pPr>
            <w:r w:rsidRPr="00751517">
              <w:rPr>
                <w:rFonts w:ascii="Times New Roman" w:eastAsia="標楷體" w:hAnsi="新細明體" w:cs="新細明體" w:hint="eastAsia"/>
                <w:bCs/>
                <w:kern w:val="0"/>
              </w:rPr>
              <w:t>說明</w:t>
            </w:r>
          </w:p>
        </w:tc>
      </w:tr>
      <w:tr w:rsidR="007C7D55" w:rsidRPr="00751517" w:rsidTr="007416FD">
        <w:trPr>
          <w:jc w:val="center"/>
        </w:trPr>
        <w:tc>
          <w:tcPr>
            <w:tcW w:w="3439" w:type="dxa"/>
          </w:tcPr>
          <w:p w:rsidR="007C7D55" w:rsidRPr="00751517" w:rsidRDefault="007C7D55" w:rsidP="007416F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both"/>
              <w:rPr>
                <w:rFonts w:ascii="Times New Roman" w:eastAsia="標楷體" w:hAnsi="Times New Roman" w:hint="eastAsia"/>
                <w:color w:val="auto"/>
                <w:sz w:val="24"/>
                <w:szCs w:val="24"/>
              </w:rPr>
            </w:pPr>
            <w:r w:rsidRPr="00751517">
              <w:rPr>
                <w:rFonts w:ascii="Times New Roman" w:eastAsia="標楷體" w:hAnsi="標楷體" w:hint="eastAsia"/>
                <w:color w:val="auto"/>
                <w:sz w:val="24"/>
                <w:szCs w:val="24"/>
              </w:rPr>
              <w:t>壹、</w:t>
            </w:r>
            <w:r w:rsidRPr="00751517">
              <w:rPr>
                <w:rFonts w:ascii="Times New Roman" w:eastAsia="標楷體" w:hAnsi="標楷體"/>
                <w:color w:val="auto"/>
                <w:sz w:val="24"/>
                <w:szCs w:val="24"/>
              </w:rPr>
              <w:t>認購</w:t>
            </w:r>
            <w:r w:rsidRPr="00751517">
              <w:rPr>
                <w:rFonts w:ascii="Times New Roman" w:eastAsia="標楷體" w:hAnsi="Times New Roman" w:hint="eastAsia"/>
                <w:color w:val="auto"/>
                <w:sz w:val="24"/>
                <w:szCs w:val="24"/>
              </w:rPr>
              <w:t>（</w:t>
            </w:r>
            <w:r w:rsidRPr="00751517">
              <w:rPr>
                <w:rFonts w:ascii="Times New Roman" w:eastAsia="標楷體" w:hAnsi="標楷體"/>
                <w:color w:val="auto"/>
                <w:sz w:val="24"/>
                <w:szCs w:val="24"/>
              </w:rPr>
              <w:t>售</w:t>
            </w:r>
            <w:r w:rsidRPr="00751517">
              <w:rPr>
                <w:rFonts w:ascii="Times New Roman" w:eastAsia="標楷體" w:hAnsi="標楷體" w:hint="eastAsia"/>
                <w:color w:val="auto"/>
                <w:sz w:val="24"/>
                <w:szCs w:val="24"/>
              </w:rPr>
              <w:t>）</w:t>
            </w:r>
            <w:r w:rsidRPr="00751517">
              <w:rPr>
                <w:rFonts w:ascii="Times New Roman" w:eastAsia="標楷體" w:hAnsi="標楷體"/>
                <w:color w:val="auto"/>
                <w:sz w:val="24"/>
                <w:szCs w:val="24"/>
              </w:rPr>
              <w:t>權證</w:t>
            </w:r>
            <w:r w:rsidRPr="00751517">
              <w:rPr>
                <w:rFonts w:ascii="Times New Roman" w:eastAsia="標楷體" w:hAnsi="標楷體" w:hint="eastAsia"/>
                <w:color w:val="auto"/>
                <w:sz w:val="24"/>
                <w:szCs w:val="24"/>
              </w:rPr>
              <w:t>持有</w:t>
            </w:r>
            <w:r w:rsidRPr="00751517">
              <w:rPr>
                <w:rFonts w:ascii="Times New Roman" w:eastAsia="標楷體" w:hAnsi="標楷體"/>
                <w:color w:val="auto"/>
                <w:sz w:val="24"/>
                <w:szCs w:val="24"/>
              </w:rPr>
              <w:t>人</w:t>
            </w:r>
            <w:r w:rsidRPr="00751517">
              <w:rPr>
                <w:rFonts w:ascii="Times New Roman" w:eastAsia="標楷體" w:hAnsi="標楷體" w:hint="eastAsia"/>
                <w:color w:val="auto"/>
                <w:sz w:val="24"/>
                <w:szCs w:val="24"/>
              </w:rPr>
              <w:t>及其委任</w:t>
            </w:r>
            <w:r w:rsidRPr="00751517">
              <w:rPr>
                <w:rFonts w:ascii="Times New Roman" w:eastAsia="標楷體" w:hAnsi="標楷體"/>
                <w:color w:val="auto"/>
                <w:sz w:val="24"/>
                <w:szCs w:val="24"/>
              </w:rPr>
              <w:t>證券</w:t>
            </w:r>
            <w:r w:rsidRPr="00751517">
              <w:rPr>
                <w:rFonts w:ascii="Times New Roman" w:eastAsia="標楷體" w:hAnsi="標楷體" w:hint="eastAsia"/>
                <w:color w:val="auto"/>
                <w:sz w:val="24"/>
                <w:szCs w:val="24"/>
              </w:rPr>
              <w:t>商辦理履約應注意事項：</w:t>
            </w:r>
          </w:p>
          <w:p w:rsidR="007C7D55" w:rsidRPr="00751517" w:rsidRDefault="007C7D55" w:rsidP="007C7D5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afterLines="50" w:after="180"/>
              <w:ind w:leftChars="200" w:left="480"/>
              <w:rPr>
                <w:rFonts w:ascii="Times New Roman" w:eastAsia="標楷體" w:hAnsi="Times New Roman" w:hint="eastAsia"/>
                <w:color w:val="auto"/>
                <w:sz w:val="24"/>
                <w:szCs w:val="24"/>
              </w:rPr>
            </w:pPr>
            <w:r w:rsidRPr="00751517">
              <w:rPr>
                <w:rFonts w:ascii="Times New Roman" w:eastAsia="標楷體" w:hAnsi="標楷體" w:hint="eastAsia"/>
                <w:color w:val="auto"/>
                <w:sz w:val="24"/>
                <w:szCs w:val="24"/>
              </w:rPr>
              <w:t>（第一款至第四款略）</w:t>
            </w:r>
          </w:p>
          <w:p w:rsidR="007C7D55" w:rsidRPr="00751517" w:rsidRDefault="007C7D55" w:rsidP="007416F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60" w:hangingChars="200" w:hanging="480"/>
              <w:jc w:val="both"/>
              <w:rPr>
                <w:rFonts w:ascii="Times New Roman" w:eastAsia="標楷體" w:hAnsi="Times New Roman"/>
                <w:color w:val="auto"/>
                <w:sz w:val="24"/>
                <w:szCs w:val="24"/>
              </w:rPr>
            </w:pPr>
            <w:r w:rsidRPr="00751517">
              <w:rPr>
                <w:rFonts w:ascii="Times New Roman" w:eastAsia="標楷體" w:hAnsi="標楷體" w:hint="eastAsia"/>
                <w:color w:val="auto"/>
                <w:sz w:val="24"/>
                <w:szCs w:val="24"/>
              </w:rPr>
              <w:t>五、</w:t>
            </w:r>
            <w:r w:rsidRPr="00751517">
              <w:rPr>
                <w:rFonts w:ascii="Times New Roman" w:eastAsia="標楷體" w:hAnsi="標楷體"/>
                <w:color w:val="auto"/>
                <w:sz w:val="24"/>
                <w:szCs w:val="24"/>
              </w:rPr>
              <w:t>持有人請求履約之認購（售）權證，其履約給付方式可分為以下三種：</w:t>
            </w:r>
          </w:p>
          <w:p w:rsidR="007C7D55" w:rsidRPr="00751517" w:rsidRDefault="007C7D55" w:rsidP="007416FD">
            <w:pPr>
              <w:widowControl/>
              <w:ind w:leftChars="300" w:left="1440" w:hangingChars="300" w:hanging="720"/>
              <w:jc w:val="both"/>
              <w:rPr>
                <w:rFonts w:ascii="Times New Roman" w:eastAsia="標楷體" w:hAnsi="Times New Roman"/>
                <w:kern w:val="0"/>
                <w:szCs w:val="24"/>
              </w:rPr>
            </w:pPr>
            <w:r w:rsidRPr="00751517">
              <w:rPr>
                <w:rFonts w:ascii="Times New Roman" w:eastAsia="標楷體" w:hAnsi="標楷體"/>
                <w:kern w:val="0"/>
                <w:szCs w:val="24"/>
              </w:rPr>
              <w:t>（一）證券給付。</w:t>
            </w:r>
          </w:p>
          <w:p w:rsidR="007C7D55" w:rsidRPr="00751517" w:rsidRDefault="007C7D55" w:rsidP="007416FD">
            <w:pPr>
              <w:widowControl/>
              <w:ind w:leftChars="300" w:left="1440" w:hangingChars="300" w:hanging="720"/>
              <w:jc w:val="both"/>
              <w:rPr>
                <w:rFonts w:ascii="Times New Roman" w:eastAsia="標楷體" w:hAnsi="Times New Roman"/>
                <w:kern w:val="0"/>
                <w:szCs w:val="24"/>
              </w:rPr>
            </w:pPr>
            <w:r w:rsidRPr="00751517">
              <w:rPr>
                <w:rFonts w:ascii="Times New Roman" w:eastAsia="標楷體" w:hAnsi="標楷體"/>
                <w:kern w:val="0"/>
                <w:szCs w:val="24"/>
              </w:rPr>
              <w:t>（二）現金結算。</w:t>
            </w:r>
          </w:p>
          <w:p w:rsidR="007C7D55" w:rsidRPr="00751517" w:rsidRDefault="007C7D55" w:rsidP="007416FD">
            <w:pPr>
              <w:widowControl/>
              <w:ind w:leftChars="300" w:left="1440" w:hangingChars="300" w:hanging="720"/>
              <w:jc w:val="both"/>
              <w:rPr>
                <w:rFonts w:ascii="Times New Roman" w:eastAsia="標楷體" w:hAnsi="Times New Roman"/>
                <w:kern w:val="0"/>
                <w:szCs w:val="24"/>
              </w:rPr>
            </w:pPr>
            <w:r w:rsidRPr="00751517">
              <w:rPr>
                <w:rFonts w:ascii="Times New Roman" w:eastAsia="標楷體" w:hAnsi="標楷體"/>
                <w:kern w:val="0"/>
                <w:szCs w:val="24"/>
              </w:rPr>
              <w:t>（三）證券給付，惟發行人（持有人）得選擇現金結算之認購（售）權證。</w:t>
            </w:r>
          </w:p>
          <w:p w:rsidR="007C7D55" w:rsidRPr="00751517" w:rsidRDefault="007C7D55" w:rsidP="007416FD">
            <w:pPr>
              <w:widowControl/>
              <w:ind w:leftChars="300" w:left="720"/>
              <w:jc w:val="both"/>
              <w:rPr>
                <w:rFonts w:ascii="Times New Roman" w:eastAsia="標楷體" w:hAnsi="Times New Roman" w:hint="eastAsia"/>
                <w:kern w:val="0"/>
                <w:szCs w:val="24"/>
              </w:rPr>
            </w:pPr>
            <w:r w:rsidRPr="00751517">
              <w:rPr>
                <w:rFonts w:ascii="Times New Roman" w:eastAsia="標楷體" w:hAnsi="標楷體"/>
                <w:kern w:val="0"/>
                <w:szCs w:val="24"/>
              </w:rPr>
              <w:t>前揭履約給付方式以現金結算</w:t>
            </w:r>
            <w:r w:rsidRPr="00751517">
              <w:rPr>
                <w:rFonts w:ascii="Times New Roman" w:eastAsia="標楷體" w:hAnsi="標楷體" w:hint="eastAsia"/>
                <w:kern w:val="0"/>
                <w:szCs w:val="24"/>
              </w:rPr>
              <w:t>者</w:t>
            </w:r>
            <w:r w:rsidRPr="00751517">
              <w:rPr>
                <w:rFonts w:ascii="Times New Roman" w:eastAsia="標楷體" w:hAnsi="標楷體"/>
                <w:kern w:val="0"/>
                <w:szCs w:val="24"/>
              </w:rPr>
              <w:t>，其現金結算額應以標的證券或標的指數之行使日當日收盤價格或收盤指數計算；</w:t>
            </w:r>
            <w:r w:rsidRPr="00751517">
              <w:rPr>
                <w:rFonts w:ascii="Times New Roman" w:eastAsia="標楷體" w:hAnsi="標楷體" w:hint="eastAsia"/>
                <w:kern w:val="0"/>
                <w:szCs w:val="24"/>
              </w:rPr>
              <w:t>行使日為</w:t>
            </w:r>
            <w:r w:rsidRPr="00751517">
              <w:rPr>
                <w:rFonts w:ascii="Times New Roman" w:eastAsia="標楷體" w:hAnsi="標楷體"/>
                <w:kern w:val="0"/>
                <w:szCs w:val="24"/>
              </w:rPr>
              <w:t>權證</w:t>
            </w:r>
            <w:proofErr w:type="gramStart"/>
            <w:r w:rsidRPr="00751517">
              <w:rPr>
                <w:rFonts w:ascii="Times New Roman" w:eastAsia="標楷體" w:hAnsi="標楷體"/>
                <w:kern w:val="0"/>
                <w:szCs w:val="24"/>
              </w:rPr>
              <w:t>到期日</w:t>
            </w:r>
            <w:r w:rsidRPr="00751517">
              <w:rPr>
                <w:rFonts w:ascii="Times New Roman" w:eastAsia="標楷體" w:hAnsi="標楷體" w:hint="eastAsia"/>
                <w:kern w:val="0"/>
                <w:szCs w:val="24"/>
              </w:rPr>
              <w:t>者</w:t>
            </w:r>
            <w:proofErr w:type="gramEnd"/>
            <w:r w:rsidRPr="00751517">
              <w:rPr>
                <w:rFonts w:ascii="Times New Roman" w:eastAsia="標楷體" w:hAnsi="標楷體" w:hint="eastAsia"/>
                <w:kern w:val="0"/>
                <w:szCs w:val="24"/>
              </w:rPr>
              <w:t>，</w:t>
            </w:r>
            <w:r w:rsidRPr="00751517">
              <w:rPr>
                <w:rFonts w:ascii="Times New Roman" w:eastAsia="標楷體" w:hAnsi="標楷體"/>
                <w:kern w:val="0"/>
                <w:szCs w:val="24"/>
              </w:rPr>
              <w:t>其現金結算額</w:t>
            </w:r>
            <w:r w:rsidRPr="00751517">
              <w:rPr>
                <w:rFonts w:ascii="Times New Roman" w:eastAsia="標楷體" w:hAnsi="標楷體" w:hint="eastAsia"/>
                <w:kern w:val="0"/>
                <w:szCs w:val="24"/>
              </w:rPr>
              <w:t>則以標的證券當日收盤前六十分鐘內成交價格之</w:t>
            </w:r>
            <w:r w:rsidRPr="00751517">
              <w:rPr>
                <w:rFonts w:ascii="Times New Roman" w:eastAsia="標楷體" w:hAnsi="標楷體" w:hint="eastAsia"/>
                <w:szCs w:val="24"/>
              </w:rPr>
              <w:t>簡單</w:t>
            </w:r>
            <w:r w:rsidRPr="00751517">
              <w:rPr>
                <w:rFonts w:ascii="Times New Roman" w:eastAsia="標楷體" w:hAnsi="標楷體" w:hint="eastAsia"/>
                <w:kern w:val="0"/>
                <w:szCs w:val="24"/>
              </w:rPr>
              <w:t>算術平均價</w:t>
            </w:r>
            <w:r w:rsidRPr="00751517">
              <w:rPr>
                <w:rFonts w:ascii="Times New Roman" w:eastAsia="標楷體" w:hAnsi="標楷體"/>
                <w:kern w:val="0"/>
                <w:szCs w:val="24"/>
              </w:rPr>
              <w:t>或</w:t>
            </w:r>
            <w:r w:rsidRPr="00751517">
              <w:rPr>
                <w:rFonts w:ascii="Times New Roman" w:eastAsia="標楷體" w:hAnsi="標楷體" w:hint="eastAsia"/>
                <w:kern w:val="0"/>
                <w:szCs w:val="24"/>
              </w:rPr>
              <w:t>標的指數當日收盤前三十分鐘內該</w:t>
            </w:r>
            <w:r w:rsidRPr="00751517">
              <w:rPr>
                <w:rFonts w:ascii="Times New Roman" w:eastAsia="標楷體" w:hAnsi="標楷體"/>
                <w:kern w:val="0"/>
                <w:szCs w:val="24"/>
              </w:rPr>
              <w:t>指數</w:t>
            </w:r>
            <w:r w:rsidRPr="00751517">
              <w:rPr>
                <w:rFonts w:ascii="Times New Roman" w:eastAsia="標楷體" w:hAnsi="標楷體" w:hint="eastAsia"/>
                <w:kern w:val="0"/>
                <w:szCs w:val="24"/>
              </w:rPr>
              <w:t>之簡單算術平均數計算，</w:t>
            </w:r>
            <w:r w:rsidRPr="00751517">
              <w:rPr>
                <w:rFonts w:ascii="Times New Roman" w:eastAsia="標楷體" w:hAnsi="標楷體" w:hint="eastAsia"/>
                <w:szCs w:val="24"/>
              </w:rPr>
              <w:t>如</w:t>
            </w:r>
            <w:r w:rsidRPr="00751517">
              <w:rPr>
                <w:rFonts w:ascii="Times New Roman" w:eastAsia="標楷體" w:hAnsi="標楷體" w:hint="eastAsia"/>
                <w:kern w:val="0"/>
                <w:szCs w:val="24"/>
              </w:rPr>
              <w:t>標的證券於前揭時間內無成交</w:t>
            </w:r>
            <w:r w:rsidRPr="00751517">
              <w:rPr>
                <w:rFonts w:ascii="Times New Roman" w:eastAsia="標楷體" w:hAnsi="標楷體" w:hint="eastAsia"/>
                <w:szCs w:val="24"/>
              </w:rPr>
              <w:t>價格者，則以最近一次成交價格計算</w:t>
            </w:r>
            <w:r w:rsidRPr="00751517">
              <w:rPr>
                <w:rFonts w:ascii="Times New Roman" w:eastAsia="標楷體" w:hAnsi="標楷體" w:hint="eastAsia"/>
                <w:b/>
                <w:bCs/>
                <w:szCs w:val="24"/>
                <w:u w:val="single"/>
              </w:rPr>
              <w:t>，如有本中心業務規則第三十五條第四項規定情事時，延緩時間內之成交價格或指數應一併列入計算</w:t>
            </w:r>
            <w:r w:rsidRPr="00751517">
              <w:rPr>
                <w:rFonts w:ascii="Times New Roman" w:eastAsia="標楷體" w:hAnsi="標楷體" w:hint="eastAsia"/>
                <w:kern w:val="0"/>
                <w:szCs w:val="24"/>
              </w:rPr>
              <w:t>。但以</w:t>
            </w:r>
            <w:r w:rsidRPr="00751517">
              <w:rPr>
                <w:rFonts w:ascii="Times New Roman" w:eastAsia="標楷體" w:hAnsi="標楷體" w:hint="eastAsia"/>
                <w:szCs w:val="24"/>
              </w:rPr>
              <w:t>外國證券或指數為</w:t>
            </w:r>
            <w:r w:rsidRPr="00751517">
              <w:rPr>
                <w:rFonts w:ascii="Times New Roman" w:eastAsia="標楷體" w:hAnsi="標楷體"/>
                <w:szCs w:val="24"/>
              </w:rPr>
              <w:t>標的</w:t>
            </w:r>
            <w:r w:rsidRPr="00751517">
              <w:rPr>
                <w:rFonts w:ascii="Times New Roman" w:eastAsia="標楷體" w:hAnsi="標楷體" w:hint="eastAsia"/>
                <w:szCs w:val="24"/>
              </w:rPr>
              <w:t>者，</w:t>
            </w:r>
            <w:r w:rsidRPr="00751517">
              <w:rPr>
                <w:rFonts w:ascii="Times New Roman" w:eastAsia="標楷體" w:hAnsi="標楷體"/>
                <w:kern w:val="0"/>
                <w:szCs w:val="24"/>
              </w:rPr>
              <w:t>應以</w:t>
            </w:r>
            <w:r w:rsidRPr="00751517">
              <w:rPr>
                <w:rFonts w:ascii="Times New Roman" w:eastAsia="標楷體" w:hAnsi="標楷體"/>
                <w:szCs w:val="24"/>
              </w:rPr>
              <w:t>權證</w:t>
            </w:r>
            <w:r w:rsidRPr="00751517">
              <w:rPr>
                <w:rFonts w:ascii="Times New Roman" w:eastAsia="標楷體" w:hAnsi="標楷體" w:hint="eastAsia"/>
                <w:kern w:val="0"/>
                <w:szCs w:val="24"/>
              </w:rPr>
              <w:t>到期</w:t>
            </w:r>
            <w:r w:rsidRPr="00751517">
              <w:rPr>
                <w:rFonts w:ascii="Times New Roman" w:eastAsia="標楷體" w:hAnsi="標楷體"/>
                <w:kern w:val="0"/>
                <w:szCs w:val="24"/>
              </w:rPr>
              <w:t>日</w:t>
            </w:r>
            <w:r w:rsidRPr="00751517">
              <w:rPr>
                <w:rFonts w:ascii="Times New Roman" w:eastAsia="標楷體" w:hAnsi="標楷體" w:hint="eastAsia"/>
                <w:kern w:val="0"/>
                <w:szCs w:val="24"/>
              </w:rPr>
              <w:t>下午六時前</w:t>
            </w:r>
            <w:r w:rsidRPr="00751517">
              <w:rPr>
                <w:rFonts w:ascii="Times New Roman" w:eastAsia="標楷體" w:hAnsi="標楷體"/>
                <w:kern w:val="0"/>
                <w:szCs w:val="24"/>
              </w:rPr>
              <w:t>標的證券</w:t>
            </w:r>
            <w:r w:rsidRPr="00751517">
              <w:rPr>
                <w:rFonts w:ascii="Times New Roman" w:eastAsia="標楷體" w:hAnsi="標楷體" w:hint="eastAsia"/>
                <w:kern w:val="0"/>
                <w:szCs w:val="24"/>
              </w:rPr>
              <w:t>最近一次</w:t>
            </w:r>
            <w:r w:rsidRPr="00751517">
              <w:rPr>
                <w:rFonts w:ascii="Times New Roman" w:eastAsia="標楷體" w:hAnsi="標楷體"/>
                <w:kern w:val="0"/>
                <w:szCs w:val="24"/>
              </w:rPr>
              <w:t>收盤價格</w:t>
            </w:r>
            <w:r w:rsidRPr="00751517">
              <w:rPr>
                <w:rFonts w:ascii="Times New Roman" w:eastAsia="標楷體" w:hAnsi="標楷體" w:hint="eastAsia"/>
                <w:kern w:val="0"/>
                <w:szCs w:val="24"/>
              </w:rPr>
              <w:t>依</w:t>
            </w:r>
            <w:r w:rsidRPr="00751517">
              <w:rPr>
                <w:rFonts w:ascii="Times New Roman" w:eastAsia="標楷體" w:hAnsi="標楷體" w:hint="eastAsia"/>
                <w:szCs w:val="24"/>
              </w:rPr>
              <w:t>臺灣銀行</w:t>
            </w:r>
            <w:r w:rsidRPr="00751517">
              <w:rPr>
                <w:rFonts w:ascii="Times New Roman" w:eastAsia="標楷體" w:hAnsi="標楷體" w:hint="eastAsia"/>
                <w:kern w:val="0"/>
                <w:szCs w:val="24"/>
              </w:rPr>
              <w:t>當日</w:t>
            </w:r>
            <w:r w:rsidRPr="00751517">
              <w:rPr>
                <w:rFonts w:ascii="Times New Roman" w:eastAsia="標楷體" w:hAnsi="標楷體" w:hint="eastAsia"/>
                <w:szCs w:val="24"/>
              </w:rPr>
              <w:t>外匯即期匯率收盤價</w:t>
            </w:r>
            <w:r w:rsidRPr="00751517">
              <w:rPr>
                <w:rFonts w:ascii="Times New Roman" w:eastAsia="標楷體" w:hAnsi="標楷體"/>
                <w:szCs w:val="24"/>
              </w:rPr>
              <w:t>之</w:t>
            </w:r>
            <w:r w:rsidRPr="00751517">
              <w:rPr>
                <w:rFonts w:ascii="Times New Roman" w:eastAsia="標楷體" w:hAnsi="標楷體" w:hint="eastAsia"/>
                <w:kern w:val="0"/>
                <w:szCs w:val="24"/>
              </w:rPr>
              <w:t>中價換算為新台幣</w:t>
            </w:r>
            <w:r w:rsidRPr="00751517">
              <w:rPr>
                <w:rFonts w:ascii="Times New Roman" w:eastAsia="標楷體" w:hAnsi="標楷體"/>
                <w:kern w:val="0"/>
                <w:szCs w:val="24"/>
              </w:rPr>
              <w:t>或標的指數</w:t>
            </w:r>
            <w:r w:rsidRPr="00751517">
              <w:rPr>
                <w:rFonts w:ascii="Times New Roman" w:eastAsia="標楷體" w:hAnsi="標楷體" w:hint="eastAsia"/>
                <w:kern w:val="0"/>
                <w:szCs w:val="24"/>
              </w:rPr>
              <w:t>最近一次</w:t>
            </w:r>
            <w:r w:rsidRPr="00751517">
              <w:rPr>
                <w:rFonts w:ascii="Times New Roman" w:eastAsia="標楷體" w:hAnsi="標楷體"/>
                <w:kern w:val="0"/>
                <w:szCs w:val="24"/>
              </w:rPr>
              <w:t>收盤指</w:t>
            </w:r>
            <w:r w:rsidRPr="00751517">
              <w:rPr>
                <w:rFonts w:ascii="Times New Roman" w:eastAsia="標楷體" w:hAnsi="標楷體" w:hint="eastAsia"/>
                <w:kern w:val="0"/>
                <w:szCs w:val="24"/>
              </w:rPr>
              <w:lastRenderedPageBreak/>
              <w:t>數</w:t>
            </w:r>
            <w:r w:rsidRPr="00751517">
              <w:rPr>
                <w:rFonts w:ascii="Times New Roman" w:eastAsia="標楷體" w:hAnsi="標楷體"/>
                <w:kern w:val="0"/>
                <w:szCs w:val="24"/>
              </w:rPr>
              <w:t>計算</w:t>
            </w:r>
            <w:r w:rsidRPr="00751517">
              <w:rPr>
                <w:rFonts w:ascii="Times New Roman" w:eastAsia="標楷體" w:hAnsi="標楷體" w:hint="eastAsia"/>
                <w:szCs w:val="24"/>
              </w:rPr>
              <w:t>。</w:t>
            </w:r>
          </w:p>
          <w:p w:rsidR="007C7D55" w:rsidRPr="00751517" w:rsidRDefault="007C7D55" w:rsidP="007416FD">
            <w:pPr>
              <w:widowControl/>
              <w:ind w:leftChars="300" w:left="720"/>
              <w:jc w:val="both"/>
              <w:rPr>
                <w:rFonts w:ascii="Times New Roman" w:eastAsia="標楷體" w:hAnsi="Times New Roman"/>
                <w:kern w:val="0"/>
                <w:szCs w:val="24"/>
              </w:rPr>
            </w:pPr>
            <w:r w:rsidRPr="00751517">
              <w:rPr>
                <w:rFonts w:ascii="Times New Roman" w:eastAsia="標楷體" w:hAnsi="標楷體"/>
                <w:kern w:val="0"/>
                <w:szCs w:val="24"/>
              </w:rPr>
              <w:t>前揭履約給付方式除現金結算外，權證到期具履約價值時，如持有人未及時申請履約，發行人得</w:t>
            </w:r>
            <w:proofErr w:type="gramStart"/>
            <w:r w:rsidRPr="00751517">
              <w:rPr>
                <w:rFonts w:ascii="Times New Roman" w:eastAsia="標楷體" w:hAnsi="標楷體"/>
                <w:kern w:val="0"/>
                <w:szCs w:val="24"/>
              </w:rPr>
              <w:t>採</w:t>
            </w:r>
            <w:proofErr w:type="gramEnd"/>
            <w:r w:rsidRPr="00751517">
              <w:rPr>
                <w:rFonts w:ascii="Times New Roman" w:eastAsia="標楷體" w:hAnsi="標楷體"/>
                <w:kern w:val="0"/>
                <w:szCs w:val="24"/>
              </w:rPr>
              <w:t>「到期價內自動現金結算」方式，以權證到期日標的證券</w:t>
            </w:r>
            <w:r w:rsidRPr="00751517">
              <w:rPr>
                <w:rFonts w:ascii="Times New Roman" w:eastAsia="標楷體" w:hAnsi="標楷體" w:hint="eastAsia"/>
                <w:kern w:val="0"/>
                <w:szCs w:val="24"/>
              </w:rPr>
              <w:t>當日收盤前六十分鐘內成交價格之</w:t>
            </w:r>
            <w:r w:rsidRPr="00751517">
              <w:rPr>
                <w:rFonts w:ascii="Times New Roman" w:eastAsia="標楷體" w:hAnsi="標楷體" w:hint="eastAsia"/>
                <w:szCs w:val="24"/>
              </w:rPr>
              <w:t>簡單</w:t>
            </w:r>
            <w:r w:rsidRPr="00751517">
              <w:rPr>
                <w:rFonts w:ascii="Times New Roman" w:eastAsia="標楷體" w:hAnsi="標楷體" w:hint="eastAsia"/>
                <w:kern w:val="0"/>
                <w:szCs w:val="24"/>
              </w:rPr>
              <w:t>算術平均價計算，</w:t>
            </w:r>
            <w:r w:rsidRPr="00751517">
              <w:rPr>
                <w:rFonts w:ascii="Times New Roman" w:eastAsia="標楷體" w:hAnsi="標楷體" w:hint="eastAsia"/>
                <w:szCs w:val="24"/>
              </w:rPr>
              <w:t>如</w:t>
            </w:r>
            <w:r w:rsidRPr="00751517">
              <w:rPr>
                <w:rFonts w:ascii="Times New Roman" w:eastAsia="標楷體" w:hAnsi="標楷體" w:hint="eastAsia"/>
                <w:kern w:val="0"/>
                <w:szCs w:val="24"/>
              </w:rPr>
              <w:t>標的證券於前揭時間內無成交</w:t>
            </w:r>
            <w:r w:rsidRPr="00751517">
              <w:rPr>
                <w:rFonts w:ascii="Times New Roman" w:eastAsia="標楷體" w:hAnsi="標楷體" w:hint="eastAsia"/>
                <w:szCs w:val="24"/>
              </w:rPr>
              <w:t>價格者，則以最近一次成交價格計算</w:t>
            </w:r>
            <w:r w:rsidRPr="00751517">
              <w:rPr>
                <w:rFonts w:ascii="Times New Roman" w:eastAsia="標楷體" w:hAnsi="標楷體" w:hint="eastAsia"/>
                <w:b/>
                <w:bCs/>
                <w:szCs w:val="24"/>
                <w:u w:val="single"/>
              </w:rPr>
              <w:t>，如有本中心業務規則第三十五條第四項規定情事時，延緩時間內之成交價格應一併列入計算</w:t>
            </w:r>
            <w:r w:rsidRPr="00751517">
              <w:rPr>
                <w:rFonts w:ascii="Times New Roman" w:eastAsia="標楷體" w:hAnsi="標楷體" w:hint="eastAsia"/>
                <w:kern w:val="0"/>
                <w:szCs w:val="24"/>
              </w:rPr>
              <w:t>。</w:t>
            </w:r>
          </w:p>
          <w:p w:rsidR="007C7D55" w:rsidRPr="00751517" w:rsidRDefault="007C7D55" w:rsidP="007416FD">
            <w:pPr>
              <w:widowControl/>
              <w:ind w:leftChars="300" w:left="720"/>
              <w:jc w:val="both"/>
              <w:rPr>
                <w:rFonts w:ascii="Times New Roman" w:eastAsia="標楷體" w:hAnsi="Times New Roman"/>
                <w:kern w:val="0"/>
                <w:szCs w:val="24"/>
              </w:rPr>
            </w:pPr>
            <w:r w:rsidRPr="00751517">
              <w:rPr>
                <w:rFonts w:ascii="Times New Roman" w:eastAsia="標楷體" w:hAnsi="標楷體"/>
                <w:kern w:val="0"/>
                <w:szCs w:val="24"/>
              </w:rPr>
              <w:t>持有人請求履約之認購（售）權證，其履約給付方式如屬以下三者之一，證券商需向持有人預收履約所需支付款</w:t>
            </w:r>
            <w:proofErr w:type="gramStart"/>
            <w:r w:rsidRPr="00751517">
              <w:rPr>
                <w:rFonts w:ascii="Times New Roman" w:eastAsia="標楷體" w:hAnsi="標楷體"/>
                <w:kern w:val="0"/>
                <w:szCs w:val="24"/>
              </w:rPr>
              <w:t>券</w:t>
            </w:r>
            <w:proofErr w:type="gramEnd"/>
            <w:r w:rsidRPr="00751517">
              <w:rPr>
                <w:rFonts w:ascii="Times New Roman" w:eastAsia="標楷體" w:hAnsi="標楷體"/>
                <w:kern w:val="0"/>
                <w:szCs w:val="24"/>
              </w:rPr>
              <w:t>。</w:t>
            </w:r>
          </w:p>
          <w:p w:rsidR="007C7D55" w:rsidRPr="00751517" w:rsidRDefault="007C7D55" w:rsidP="007416FD">
            <w:pPr>
              <w:widowControl/>
              <w:ind w:leftChars="300" w:left="1440" w:hangingChars="300" w:hanging="720"/>
              <w:jc w:val="both"/>
              <w:rPr>
                <w:rFonts w:ascii="Times New Roman" w:eastAsia="標楷體" w:hAnsi="Times New Roman"/>
                <w:kern w:val="0"/>
                <w:szCs w:val="24"/>
              </w:rPr>
            </w:pPr>
            <w:r w:rsidRPr="00751517">
              <w:rPr>
                <w:rFonts w:ascii="Times New Roman" w:eastAsia="標楷體" w:hAnsi="標楷體"/>
                <w:kern w:val="0"/>
                <w:szCs w:val="24"/>
              </w:rPr>
              <w:t>（一）「證券給付」之認購（售）權證。</w:t>
            </w:r>
          </w:p>
          <w:p w:rsidR="007C7D55" w:rsidRPr="00751517" w:rsidRDefault="007C7D55" w:rsidP="007416FD">
            <w:pPr>
              <w:widowControl/>
              <w:ind w:leftChars="300" w:left="1440" w:hangingChars="300" w:hanging="720"/>
              <w:jc w:val="both"/>
              <w:rPr>
                <w:rFonts w:ascii="Times New Roman" w:eastAsia="標楷體" w:hAnsi="Times New Roman"/>
                <w:kern w:val="0"/>
                <w:szCs w:val="24"/>
              </w:rPr>
            </w:pPr>
            <w:r w:rsidRPr="00751517">
              <w:rPr>
                <w:rFonts w:ascii="Times New Roman" w:eastAsia="標楷體" w:hAnsi="標楷體"/>
                <w:kern w:val="0"/>
                <w:szCs w:val="24"/>
              </w:rPr>
              <w:t>（二）「證券給付，惟發行人得選擇現金結算」之認購權證。</w:t>
            </w:r>
          </w:p>
          <w:p w:rsidR="007C7D55" w:rsidRPr="00751517" w:rsidRDefault="007C7D55" w:rsidP="007416FD">
            <w:pPr>
              <w:widowControl/>
              <w:ind w:leftChars="300" w:left="1440" w:hangingChars="300" w:hanging="720"/>
              <w:jc w:val="both"/>
              <w:rPr>
                <w:rFonts w:ascii="Times New Roman" w:eastAsia="標楷體" w:hAnsi="Times New Roman"/>
                <w:kern w:val="0"/>
                <w:szCs w:val="24"/>
              </w:rPr>
            </w:pPr>
            <w:r w:rsidRPr="00751517">
              <w:rPr>
                <w:rFonts w:ascii="Times New Roman" w:eastAsia="標楷體" w:hAnsi="標楷體"/>
                <w:kern w:val="0"/>
                <w:szCs w:val="24"/>
              </w:rPr>
              <w:t>（三）「證券給付，惟持有人得選擇現金結算」之認售權證，且持有人已指定</w:t>
            </w:r>
            <w:proofErr w:type="gramStart"/>
            <w:r w:rsidRPr="00751517">
              <w:rPr>
                <w:rFonts w:ascii="Times New Roman" w:eastAsia="標楷體" w:hAnsi="標楷體"/>
                <w:kern w:val="0"/>
                <w:szCs w:val="24"/>
              </w:rPr>
              <w:t>採</w:t>
            </w:r>
            <w:proofErr w:type="gramEnd"/>
            <w:r w:rsidRPr="00751517">
              <w:rPr>
                <w:rFonts w:ascii="Times New Roman" w:eastAsia="標楷體" w:hAnsi="標楷體"/>
                <w:kern w:val="0"/>
                <w:szCs w:val="24"/>
              </w:rPr>
              <w:t>「證券給付」。</w:t>
            </w:r>
          </w:p>
          <w:p w:rsidR="007C7D55" w:rsidRPr="00751517" w:rsidRDefault="007C7D55" w:rsidP="007416FD">
            <w:pPr>
              <w:widowControl/>
              <w:ind w:leftChars="300" w:left="720"/>
              <w:jc w:val="both"/>
              <w:rPr>
                <w:rFonts w:ascii="Times New Roman" w:eastAsia="標楷體" w:hAnsi="Times New Roman"/>
                <w:kern w:val="0"/>
                <w:szCs w:val="24"/>
              </w:rPr>
            </w:pPr>
            <w:r w:rsidRPr="00751517">
              <w:rPr>
                <w:rFonts w:ascii="Times New Roman" w:eastAsia="標楷體" w:hAnsi="標楷體"/>
                <w:kern w:val="0"/>
                <w:szCs w:val="24"/>
              </w:rPr>
              <w:t>但履約給付方式為「證券給付，惟發行人得選擇現金結算」之認購權證（即前開第二項），如發行人選擇以「現金結算」，或該持有人分配以「現金結算」，證券商應於持有人請求履約日後第一營業日退還預收之款項。</w:t>
            </w:r>
          </w:p>
          <w:p w:rsidR="007C7D55" w:rsidRDefault="007C7D55" w:rsidP="007416FD">
            <w:pPr>
              <w:widowControl/>
              <w:ind w:leftChars="300" w:left="720"/>
              <w:jc w:val="both"/>
              <w:rPr>
                <w:rFonts w:ascii="標楷體" w:eastAsia="標楷體" w:hAnsi="標楷體" w:cs="細明體" w:hint="eastAsia"/>
                <w:color w:val="333333"/>
                <w:kern w:val="0"/>
                <w:szCs w:val="24"/>
              </w:rPr>
            </w:pPr>
            <w:r w:rsidRPr="001B7551">
              <w:rPr>
                <w:rFonts w:ascii="標楷體" w:eastAsia="標楷體" w:hAnsi="標楷體" w:cs="細明體"/>
                <w:color w:val="333333"/>
                <w:kern w:val="0"/>
                <w:szCs w:val="24"/>
              </w:rPr>
              <w:t>上限型認購權證或</w:t>
            </w:r>
            <w:proofErr w:type="gramStart"/>
            <w:r w:rsidRPr="001B7551">
              <w:rPr>
                <w:rFonts w:ascii="標楷體" w:eastAsia="標楷體" w:hAnsi="標楷體" w:cs="細明體"/>
                <w:color w:val="333333"/>
                <w:kern w:val="0"/>
                <w:szCs w:val="24"/>
              </w:rPr>
              <w:t>下限型</w:t>
            </w:r>
            <w:r w:rsidRPr="001B7551">
              <w:rPr>
                <w:rFonts w:ascii="標楷體" w:eastAsia="標楷體" w:hAnsi="標楷體" w:cs="細明體"/>
                <w:color w:val="333333"/>
                <w:kern w:val="0"/>
                <w:szCs w:val="24"/>
              </w:rPr>
              <w:lastRenderedPageBreak/>
              <w:t>認售</w:t>
            </w:r>
            <w:proofErr w:type="gramEnd"/>
            <w:r w:rsidRPr="001B7551">
              <w:rPr>
                <w:rFonts w:ascii="標楷體" w:eastAsia="標楷體" w:hAnsi="標楷體" w:cs="細明體"/>
                <w:color w:val="333333"/>
                <w:kern w:val="0"/>
                <w:szCs w:val="24"/>
              </w:rPr>
              <w:t>權證，</w:t>
            </w:r>
            <w:proofErr w:type="gramStart"/>
            <w:r w:rsidRPr="001B7551">
              <w:rPr>
                <w:rFonts w:ascii="標楷體" w:eastAsia="標楷體" w:hAnsi="標楷體" w:cs="細明體"/>
                <w:color w:val="333333"/>
                <w:kern w:val="0"/>
                <w:szCs w:val="24"/>
              </w:rPr>
              <w:t>遇標的</w:t>
            </w:r>
            <w:proofErr w:type="gramEnd"/>
            <w:r w:rsidRPr="001B7551">
              <w:rPr>
                <w:rFonts w:ascii="標楷體" w:eastAsia="標楷體" w:hAnsi="標楷體" w:cs="細明體"/>
                <w:color w:val="333333"/>
                <w:kern w:val="0"/>
                <w:szCs w:val="24"/>
              </w:rPr>
              <w:t>證券之收盤價格或標的指數之收盤指數達到上（下）限價格或指數時，當日視同該權證最後交易日，並於次二營業日到期，按該權證最後交易日標的證券之收盤價格或標的指數之收盤指數</w:t>
            </w:r>
            <w:proofErr w:type="gramStart"/>
            <w:r w:rsidRPr="001B7551">
              <w:rPr>
                <w:rFonts w:ascii="標楷體" w:eastAsia="標楷體" w:hAnsi="標楷體" w:cs="細明體"/>
                <w:color w:val="333333"/>
                <w:kern w:val="0"/>
                <w:szCs w:val="24"/>
              </w:rPr>
              <w:t>採</w:t>
            </w:r>
            <w:proofErr w:type="gramEnd"/>
            <w:r w:rsidRPr="001B7551">
              <w:rPr>
                <w:rFonts w:ascii="標楷體" w:eastAsia="標楷體" w:hAnsi="標楷體" w:cs="細明體"/>
                <w:color w:val="333333"/>
                <w:kern w:val="0"/>
                <w:szCs w:val="24"/>
              </w:rPr>
              <w:t>自動現金結算方式辦理給付。</w:t>
            </w:r>
          </w:p>
          <w:p w:rsidR="007C7D55" w:rsidRPr="00751517" w:rsidRDefault="007C7D55" w:rsidP="007416FD">
            <w:pPr>
              <w:widowControl/>
              <w:ind w:leftChars="300" w:left="720"/>
              <w:jc w:val="both"/>
              <w:rPr>
                <w:rFonts w:ascii="Times New Roman" w:eastAsia="標楷體" w:hAnsi="Times New Roman" w:hint="eastAsia"/>
                <w:szCs w:val="24"/>
              </w:rPr>
            </w:pPr>
            <w:r w:rsidRPr="00652901">
              <w:rPr>
                <w:rFonts w:ascii="標楷體" w:eastAsia="標楷體" w:hAnsi="標楷體" w:cs="細明體" w:hint="eastAsia"/>
                <w:kern w:val="0"/>
                <w:szCs w:val="24"/>
              </w:rPr>
              <w:t>下限型認購權證</w:t>
            </w:r>
            <w:r w:rsidRPr="00652901">
              <w:rPr>
                <w:rFonts w:ascii="標楷體" w:eastAsia="標楷體" w:hAnsi="標楷體" w:cs="細明體"/>
                <w:kern w:val="0"/>
                <w:szCs w:val="24"/>
              </w:rPr>
              <w:t>或</w:t>
            </w:r>
            <w:proofErr w:type="gramStart"/>
            <w:r w:rsidRPr="00652901">
              <w:rPr>
                <w:rFonts w:ascii="標楷體" w:eastAsia="標楷體" w:hAnsi="標楷體" w:cs="細明體" w:hint="eastAsia"/>
                <w:kern w:val="0"/>
                <w:szCs w:val="24"/>
              </w:rPr>
              <w:t>上限型認售</w:t>
            </w:r>
            <w:proofErr w:type="gramEnd"/>
            <w:r w:rsidRPr="00652901">
              <w:rPr>
                <w:rFonts w:ascii="標楷體" w:eastAsia="標楷體" w:hAnsi="標楷體" w:cs="細明體" w:hint="eastAsia"/>
                <w:kern w:val="0"/>
                <w:szCs w:val="24"/>
              </w:rPr>
              <w:t>權證，</w:t>
            </w:r>
            <w:proofErr w:type="gramStart"/>
            <w:r w:rsidRPr="00652901">
              <w:rPr>
                <w:rFonts w:ascii="標楷體" w:eastAsia="標楷體" w:hAnsi="標楷體" w:cs="細明體"/>
                <w:kern w:val="0"/>
                <w:szCs w:val="24"/>
              </w:rPr>
              <w:t>遇標的</w:t>
            </w:r>
            <w:proofErr w:type="gramEnd"/>
            <w:r w:rsidRPr="00652901">
              <w:rPr>
                <w:rFonts w:ascii="標楷體" w:eastAsia="標楷體" w:hAnsi="標楷體" w:cs="細明體"/>
                <w:kern w:val="0"/>
                <w:szCs w:val="24"/>
              </w:rPr>
              <w:t>證券之收盤價格或標的指數之收盤指數達到</w:t>
            </w:r>
            <w:r w:rsidRPr="00652901">
              <w:rPr>
                <w:rFonts w:ascii="標楷體" w:eastAsia="標楷體" w:hAnsi="標楷體" w:cs="細明體" w:hint="eastAsia"/>
                <w:kern w:val="0"/>
                <w:szCs w:val="24"/>
              </w:rPr>
              <w:t>下</w:t>
            </w:r>
            <w:r w:rsidRPr="00652901">
              <w:rPr>
                <w:rFonts w:ascii="標楷體" w:eastAsia="標楷體" w:hAnsi="標楷體" w:cs="細明體"/>
                <w:kern w:val="0"/>
                <w:szCs w:val="24"/>
              </w:rPr>
              <w:t>（</w:t>
            </w:r>
            <w:r w:rsidRPr="00652901">
              <w:rPr>
                <w:rFonts w:ascii="標楷體" w:eastAsia="標楷體" w:hAnsi="標楷體" w:cs="細明體" w:hint="eastAsia"/>
                <w:kern w:val="0"/>
                <w:szCs w:val="24"/>
              </w:rPr>
              <w:t>上</w:t>
            </w:r>
            <w:r w:rsidRPr="00652901">
              <w:rPr>
                <w:rFonts w:ascii="標楷體" w:eastAsia="標楷體" w:hAnsi="標楷體" w:cs="細明體"/>
                <w:kern w:val="0"/>
                <w:szCs w:val="24"/>
              </w:rPr>
              <w:t>）限價格或指數時，當日視同該權證最後交易日，並於次二營業日到期，按該權證最後交易日</w:t>
            </w:r>
            <w:r w:rsidRPr="00652901">
              <w:rPr>
                <w:rFonts w:ascii="標楷體" w:eastAsia="標楷體" w:hAnsi="標楷體" w:cs="細明體" w:hint="eastAsia"/>
                <w:kern w:val="0"/>
                <w:szCs w:val="24"/>
              </w:rPr>
              <w:t>之次一營業日</w:t>
            </w:r>
            <w:r w:rsidRPr="00652901">
              <w:rPr>
                <w:rFonts w:eastAsia="標楷體" w:hint="eastAsia"/>
                <w:szCs w:val="24"/>
              </w:rPr>
              <w:t>標的證券</w:t>
            </w:r>
            <w:r w:rsidRPr="00652901">
              <w:rPr>
                <w:rFonts w:ascii="標楷體" w:eastAsia="標楷體" w:hAnsi="標楷體" w:cs="細明體" w:hint="eastAsia"/>
                <w:szCs w:val="24"/>
              </w:rPr>
              <w:t>成交價格之簡單算術平均價或標的指數之簡單算術平均數</w:t>
            </w:r>
            <w:proofErr w:type="gramStart"/>
            <w:r w:rsidRPr="00652901">
              <w:rPr>
                <w:rFonts w:ascii="標楷體" w:eastAsia="標楷體" w:hAnsi="標楷體" w:cs="細明體"/>
                <w:kern w:val="0"/>
                <w:szCs w:val="24"/>
              </w:rPr>
              <w:t>採</w:t>
            </w:r>
            <w:proofErr w:type="gramEnd"/>
            <w:r w:rsidRPr="00652901">
              <w:rPr>
                <w:rFonts w:ascii="標楷體" w:eastAsia="標楷體" w:hAnsi="標楷體" w:cs="細明體"/>
                <w:szCs w:val="24"/>
              </w:rPr>
              <w:t>自動現金結</w:t>
            </w:r>
            <w:r w:rsidRPr="00652901">
              <w:rPr>
                <w:rFonts w:ascii="標楷體" w:eastAsia="標楷體" w:hAnsi="標楷體" w:cs="細明體" w:hint="eastAsia"/>
                <w:szCs w:val="24"/>
              </w:rPr>
              <w:t>算</w:t>
            </w:r>
            <w:r w:rsidRPr="00652901">
              <w:rPr>
                <w:rFonts w:ascii="標楷體" w:eastAsia="標楷體" w:hAnsi="標楷體" w:cs="細明體"/>
                <w:kern w:val="0"/>
                <w:szCs w:val="24"/>
              </w:rPr>
              <w:t>方式辦理給付</w:t>
            </w:r>
            <w:r w:rsidRPr="00652901">
              <w:rPr>
                <w:rFonts w:ascii="標楷體" w:eastAsia="標楷體" w:hAnsi="標楷體" w:cs="細明體" w:hint="eastAsia"/>
                <w:szCs w:val="24"/>
              </w:rPr>
              <w:t>；如標的證券無成交價格，則按</w:t>
            </w:r>
            <w:r w:rsidRPr="00652901">
              <w:rPr>
                <w:rFonts w:ascii="標楷體" w:eastAsia="標楷體" w:hAnsi="標楷體" w:cs="細明體"/>
                <w:kern w:val="0"/>
                <w:szCs w:val="24"/>
              </w:rPr>
              <w:t>該權證</w:t>
            </w:r>
            <w:r w:rsidRPr="00652901">
              <w:rPr>
                <w:rFonts w:ascii="標楷體" w:eastAsia="標楷體" w:hAnsi="標楷體" w:cs="細明體" w:hint="eastAsia"/>
                <w:szCs w:val="24"/>
              </w:rPr>
              <w:t>到期日</w:t>
            </w:r>
            <w:r w:rsidRPr="00652901">
              <w:rPr>
                <w:rFonts w:eastAsia="標楷體" w:hint="eastAsia"/>
                <w:szCs w:val="24"/>
              </w:rPr>
              <w:t>標的證券</w:t>
            </w:r>
            <w:r w:rsidRPr="00652901">
              <w:rPr>
                <w:rFonts w:ascii="標楷體" w:eastAsia="標楷體" w:hAnsi="標楷體" w:cs="細明體" w:hint="eastAsia"/>
                <w:szCs w:val="24"/>
              </w:rPr>
              <w:t>開始交易基準價計算</w:t>
            </w:r>
            <w:r>
              <w:rPr>
                <w:rFonts w:ascii="標楷體" w:eastAsia="標楷體" w:hAnsi="標楷體" w:cs="細明體" w:hint="eastAsia"/>
                <w:szCs w:val="24"/>
              </w:rPr>
              <w:t>；</w:t>
            </w:r>
            <w:r w:rsidRPr="00652901">
              <w:rPr>
                <w:rFonts w:ascii="標楷體" w:eastAsia="標楷體" w:hAnsi="標楷體" w:cs="細明體" w:hint="eastAsia"/>
                <w:szCs w:val="24"/>
              </w:rPr>
              <w:t>如</w:t>
            </w:r>
            <w:r w:rsidRPr="00652901">
              <w:rPr>
                <w:rFonts w:ascii="標楷體" w:eastAsia="標楷體" w:hAnsi="標楷體"/>
                <w:szCs w:val="24"/>
              </w:rPr>
              <w:t>最後交易日</w:t>
            </w:r>
            <w:r w:rsidRPr="00652901">
              <w:rPr>
                <w:rFonts w:ascii="標楷體" w:eastAsia="標楷體" w:hAnsi="標楷體" w:hint="eastAsia"/>
                <w:szCs w:val="24"/>
              </w:rPr>
              <w:t>之次一營業日及</w:t>
            </w:r>
            <w:r w:rsidRPr="00652901">
              <w:rPr>
                <w:rFonts w:ascii="標楷體" w:eastAsia="標楷體" w:hAnsi="標楷體" w:cs="細明體" w:hint="eastAsia"/>
                <w:szCs w:val="24"/>
              </w:rPr>
              <w:t>到期日</w:t>
            </w:r>
            <w:r w:rsidRPr="00652901">
              <w:rPr>
                <w:rFonts w:eastAsia="標楷體" w:hint="eastAsia"/>
                <w:szCs w:val="24"/>
              </w:rPr>
              <w:t>標的證券暫停交易或停止買賣</w:t>
            </w:r>
            <w:r w:rsidRPr="00652901">
              <w:rPr>
                <w:rFonts w:ascii="標楷體" w:eastAsia="標楷體" w:hAnsi="標楷體" w:cs="細明體" w:hint="eastAsia"/>
                <w:szCs w:val="24"/>
              </w:rPr>
              <w:t>，則按</w:t>
            </w:r>
            <w:r w:rsidRPr="00652901">
              <w:rPr>
                <w:rFonts w:ascii="標楷體" w:eastAsia="標楷體" w:hAnsi="標楷體"/>
                <w:szCs w:val="24"/>
              </w:rPr>
              <w:t>最後交易日</w:t>
            </w:r>
            <w:r w:rsidRPr="00652901">
              <w:rPr>
                <w:rFonts w:eastAsia="標楷體" w:hint="eastAsia"/>
                <w:szCs w:val="24"/>
              </w:rPr>
              <w:t>標的證券</w:t>
            </w:r>
            <w:r w:rsidRPr="00652901">
              <w:rPr>
                <w:rFonts w:ascii="標楷體" w:eastAsia="標楷體" w:hAnsi="標楷體"/>
                <w:szCs w:val="24"/>
              </w:rPr>
              <w:t>之收盤價格</w:t>
            </w:r>
            <w:r w:rsidRPr="00652901">
              <w:rPr>
                <w:rFonts w:ascii="標楷體" w:eastAsia="標楷體" w:hAnsi="標楷體" w:cs="細明體" w:hint="eastAsia"/>
                <w:szCs w:val="24"/>
              </w:rPr>
              <w:t>計算</w:t>
            </w:r>
            <w:r w:rsidRPr="00652901">
              <w:rPr>
                <w:rFonts w:ascii="標楷體" w:eastAsia="標楷體" w:hAnsi="標楷體" w:cs="細明體"/>
                <w:kern w:val="0"/>
                <w:szCs w:val="24"/>
              </w:rPr>
              <w:t>。</w:t>
            </w:r>
          </w:p>
          <w:p w:rsidR="007C7D55" w:rsidRPr="00751517" w:rsidRDefault="007C7D55" w:rsidP="007C7D5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afterLines="50" w:after="180"/>
              <w:ind w:leftChars="100" w:left="240"/>
              <w:jc w:val="both"/>
              <w:rPr>
                <w:rFonts w:ascii="Times New Roman" w:eastAsia="標楷體" w:hAnsi="Times New Roman" w:hint="eastAsia"/>
                <w:color w:val="auto"/>
                <w:sz w:val="24"/>
                <w:szCs w:val="24"/>
              </w:rPr>
            </w:pPr>
            <w:r w:rsidRPr="00751517">
              <w:rPr>
                <w:rFonts w:ascii="Times New Roman" w:eastAsia="標楷體" w:hAnsi="標楷體" w:hint="eastAsia"/>
                <w:color w:val="auto"/>
                <w:sz w:val="24"/>
                <w:szCs w:val="24"/>
              </w:rPr>
              <w:t>（第六款至第十款略）</w:t>
            </w:r>
          </w:p>
        </w:tc>
        <w:tc>
          <w:tcPr>
            <w:tcW w:w="3440" w:type="dxa"/>
          </w:tcPr>
          <w:p w:rsidR="007C7D55" w:rsidRPr="00751517" w:rsidRDefault="007C7D55" w:rsidP="007416F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0" w:hangingChars="200" w:hanging="480"/>
              <w:jc w:val="both"/>
              <w:rPr>
                <w:rFonts w:ascii="Times New Roman" w:eastAsia="標楷體" w:hAnsi="Times New Roman" w:hint="eastAsia"/>
                <w:color w:val="auto"/>
                <w:sz w:val="24"/>
                <w:szCs w:val="24"/>
              </w:rPr>
            </w:pPr>
            <w:r w:rsidRPr="00751517">
              <w:rPr>
                <w:rFonts w:ascii="Times New Roman" w:eastAsia="標楷體" w:hAnsi="標楷體" w:hint="eastAsia"/>
                <w:color w:val="auto"/>
                <w:sz w:val="24"/>
                <w:szCs w:val="24"/>
              </w:rPr>
              <w:lastRenderedPageBreak/>
              <w:t>壹、</w:t>
            </w:r>
            <w:r w:rsidRPr="00751517">
              <w:rPr>
                <w:rFonts w:ascii="Times New Roman" w:eastAsia="標楷體" w:hAnsi="標楷體"/>
                <w:color w:val="auto"/>
                <w:sz w:val="24"/>
                <w:szCs w:val="24"/>
              </w:rPr>
              <w:t>認購</w:t>
            </w:r>
            <w:r w:rsidRPr="00751517">
              <w:rPr>
                <w:rFonts w:ascii="Times New Roman" w:eastAsia="標楷體" w:hAnsi="Times New Roman" w:hint="eastAsia"/>
                <w:color w:val="auto"/>
                <w:sz w:val="24"/>
                <w:szCs w:val="24"/>
              </w:rPr>
              <w:t>（</w:t>
            </w:r>
            <w:r w:rsidRPr="00751517">
              <w:rPr>
                <w:rFonts w:ascii="Times New Roman" w:eastAsia="標楷體" w:hAnsi="標楷體"/>
                <w:color w:val="auto"/>
                <w:sz w:val="24"/>
                <w:szCs w:val="24"/>
              </w:rPr>
              <w:t>售</w:t>
            </w:r>
            <w:r w:rsidRPr="00751517">
              <w:rPr>
                <w:rFonts w:ascii="Times New Roman" w:eastAsia="標楷體" w:hAnsi="標楷體" w:hint="eastAsia"/>
                <w:color w:val="auto"/>
                <w:sz w:val="24"/>
                <w:szCs w:val="24"/>
              </w:rPr>
              <w:t>）</w:t>
            </w:r>
            <w:r w:rsidRPr="00751517">
              <w:rPr>
                <w:rFonts w:ascii="Times New Roman" w:eastAsia="標楷體" w:hAnsi="標楷體"/>
                <w:color w:val="auto"/>
                <w:sz w:val="24"/>
                <w:szCs w:val="24"/>
              </w:rPr>
              <w:t>權證</w:t>
            </w:r>
            <w:r w:rsidRPr="00751517">
              <w:rPr>
                <w:rFonts w:ascii="Times New Roman" w:eastAsia="標楷體" w:hAnsi="標楷體" w:hint="eastAsia"/>
                <w:color w:val="auto"/>
                <w:sz w:val="24"/>
                <w:szCs w:val="24"/>
              </w:rPr>
              <w:t>持有</w:t>
            </w:r>
            <w:r w:rsidRPr="00751517">
              <w:rPr>
                <w:rFonts w:ascii="Times New Roman" w:eastAsia="標楷體" w:hAnsi="標楷體"/>
                <w:color w:val="auto"/>
                <w:sz w:val="24"/>
                <w:szCs w:val="24"/>
              </w:rPr>
              <w:t>人</w:t>
            </w:r>
            <w:r w:rsidRPr="00751517">
              <w:rPr>
                <w:rFonts w:ascii="Times New Roman" w:eastAsia="標楷體" w:hAnsi="標楷體" w:hint="eastAsia"/>
                <w:color w:val="auto"/>
                <w:sz w:val="24"/>
                <w:szCs w:val="24"/>
              </w:rPr>
              <w:t>及其委任</w:t>
            </w:r>
            <w:r w:rsidRPr="00751517">
              <w:rPr>
                <w:rFonts w:ascii="Times New Roman" w:eastAsia="標楷體" w:hAnsi="標楷體"/>
                <w:color w:val="auto"/>
                <w:sz w:val="24"/>
                <w:szCs w:val="24"/>
              </w:rPr>
              <w:t>證券</w:t>
            </w:r>
            <w:r w:rsidRPr="00751517">
              <w:rPr>
                <w:rFonts w:ascii="Times New Roman" w:eastAsia="標楷體" w:hAnsi="標楷體" w:hint="eastAsia"/>
                <w:color w:val="auto"/>
                <w:sz w:val="24"/>
                <w:szCs w:val="24"/>
              </w:rPr>
              <w:t>商辦理履約應注意事項：</w:t>
            </w:r>
          </w:p>
          <w:p w:rsidR="007C7D55" w:rsidRPr="00751517" w:rsidRDefault="007C7D55" w:rsidP="007C7D5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afterLines="50" w:after="180"/>
              <w:ind w:leftChars="200" w:left="480"/>
              <w:rPr>
                <w:rFonts w:ascii="Times New Roman" w:eastAsia="標楷體" w:hAnsi="Times New Roman" w:hint="eastAsia"/>
                <w:color w:val="auto"/>
                <w:sz w:val="24"/>
                <w:szCs w:val="24"/>
              </w:rPr>
            </w:pPr>
            <w:r w:rsidRPr="00751517">
              <w:rPr>
                <w:rFonts w:ascii="Times New Roman" w:eastAsia="標楷體" w:hAnsi="標楷體" w:hint="eastAsia"/>
                <w:color w:val="auto"/>
                <w:sz w:val="24"/>
                <w:szCs w:val="24"/>
              </w:rPr>
              <w:t>（第一款至第四款略）</w:t>
            </w:r>
          </w:p>
          <w:p w:rsidR="007C7D55" w:rsidRPr="00751517" w:rsidRDefault="007C7D55" w:rsidP="007416F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Chars="200" w:left="960" w:hangingChars="200" w:hanging="480"/>
              <w:jc w:val="both"/>
              <w:rPr>
                <w:rFonts w:ascii="Times New Roman" w:eastAsia="標楷體" w:hAnsi="Times New Roman"/>
                <w:color w:val="auto"/>
                <w:sz w:val="24"/>
                <w:szCs w:val="24"/>
              </w:rPr>
            </w:pPr>
            <w:r w:rsidRPr="00751517">
              <w:rPr>
                <w:rFonts w:ascii="Times New Roman" w:eastAsia="標楷體" w:hAnsi="標楷體" w:hint="eastAsia"/>
                <w:color w:val="auto"/>
                <w:sz w:val="24"/>
                <w:szCs w:val="24"/>
              </w:rPr>
              <w:t>五、</w:t>
            </w:r>
            <w:r w:rsidRPr="00751517">
              <w:rPr>
                <w:rFonts w:ascii="Times New Roman" w:eastAsia="標楷體" w:hAnsi="標楷體"/>
                <w:color w:val="auto"/>
                <w:sz w:val="24"/>
                <w:szCs w:val="24"/>
              </w:rPr>
              <w:t>持有人請求履約之認購（售）權證，其履約給付方式可分為以下三種：</w:t>
            </w:r>
          </w:p>
          <w:p w:rsidR="007C7D55" w:rsidRPr="00751517" w:rsidRDefault="007C7D55" w:rsidP="007416FD">
            <w:pPr>
              <w:widowControl/>
              <w:ind w:leftChars="300" w:left="1440" w:hangingChars="300" w:hanging="720"/>
              <w:jc w:val="both"/>
              <w:rPr>
                <w:rFonts w:ascii="Times New Roman" w:eastAsia="標楷體" w:hAnsi="Times New Roman"/>
                <w:kern w:val="0"/>
                <w:szCs w:val="24"/>
              </w:rPr>
            </w:pPr>
            <w:r w:rsidRPr="00751517">
              <w:rPr>
                <w:rFonts w:ascii="Times New Roman" w:eastAsia="標楷體" w:hAnsi="標楷體"/>
                <w:kern w:val="0"/>
                <w:szCs w:val="24"/>
              </w:rPr>
              <w:t>（一）證券給付。</w:t>
            </w:r>
          </w:p>
          <w:p w:rsidR="007C7D55" w:rsidRPr="00751517" w:rsidRDefault="007C7D55" w:rsidP="007416FD">
            <w:pPr>
              <w:widowControl/>
              <w:ind w:leftChars="300" w:left="1440" w:hangingChars="300" w:hanging="720"/>
              <w:jc w:val="both"/>
              <w:rPr>
                <w:rFonts w:ascii="Times New Roman" w:eastAsia="標楷體" w:hAnsi="Times New Roman"/>
                <w:kern w:val="0"/>
                <w:szCs w:val="24"/>
              </w:rPr>
            </w:pPr>
            <w:r w:rsidRPr="00751517">
              <w:rPr>
                <w:rFonts w:ascii="Times New Roman" w:eastAsia="標楷體" w:hAnsi="標楷體"/>
                <w:kern w:val="0"/>
                <w:szCs w:val="24"/>
              </w:rPr>
              <w:t>（二）現金結算。</w:t>
            </w:r>
          </w:p>
          <w:p w:rsidR="007C7D55" w:rsidRPr="00751517" w:rsidRDefault="007C7D55" w:rsidP="007416FD">
            <w:pPr>
              <w:widowControl/>
              <w:ind w:leftChars="300" w:left="1440" w:hangingChars="300" w:hanging="720"/>
              <w:jc w:val="both"/>
              <w:rPr>
                <w:rFonts w:ascii="Times New Roman" w:eastAsia="標楷體" w:hAnsi="Times New Roman"/>
                <w:kern w:val="0"/>
                <w:szCs w:val="24"/>
              </w:rPr>
            </w:pPr>
            <w:r w:rsidRPr="00751517">
              <w:rPr>
                <w:rFonts w:ascii="Times New Roman" w:eastAsia="標楷體" w:hAnsi="標楷體"/>
                <w:kern w:val="0"/>
                <w:szCs w:val="24"/>
              </w:rPr>
              <w:t>（三）證券給付，惟發行人（持有人）得選擇現金結算之認購（售）權證。</w:t>
            </w:r>
          </w:p>
          <w:p w:rsidR="007C7D55" w:rsidRPr="00751517" w:rsidRDefault="007C7D55" w:rsidP="007416FD">
            <w:pPr>
              <w:widowControl/>
              <w:ind w:leftChars="300" w:left="720"/>
              <w:jc w:val="both"/>
              <w:rPr>
                <w:rFonts w:ascii="Times New Roman" w:eastAsia="標楷體" w:hAnsi="Times New Roman" w:hint="eastAsia"/>
                <w:kern w:val="0"/>
                <w:szCs w:val="24"/>
              </w:rPr>
            </w:pPr>
            <w:r w:rsidRPr="00751517">
              <w:rPr>
                <w:rFonts w:ascii="Times New Roman" w:eastAsia="標楷體" w:hAnsi="標楷體"/>
                <w:kern w:val="0"/>
                <w:szCs w:val="24"/>
              </w:rPr>
              <w:t>前揭履約給付方式以現金結算</w:t>
            </w:r>
            <w:r w:rsidRPr="00751517">
              <w:rPr>
                <w:rFonts w:ascii="Times New Roman" w:eastAsia="標楷體" w:hAnsi="標楷體" w:hint="eastAsia"/>
                <w:kern w:val="0"/>
                <w:szCs w:val="24"/>
              </w:rPr>
              <w:t>者</w:t>
            </w:r>
            <w:r w:rsidRPr="00751517">
              <w:rPr>
                <w:rFonts w:ascii="Times New Roman" w:eastAsia="標楷體" w:hAnsi="標楷體"/>
                <w:kern w:val="0"/>
                <w:szCs w:val="24"/>
              </w:rPr>
              <w:t>，其現金結算額應以標的證券或標的指數之行使日當日收盤價格或收盤指數計算；</w:t>
            </w:r>
            <w:r w:rsidRPr="00751517">
              <w:rPr>
                <w:rFonts w:ascii="Times New Roman" w:eastAsia="標楷體" w:hAnsi="標楷體" w:hint="eastAsia"/>
                <w:kern w:val="0"/>
                <w:szCs w:val="24"/>
              </w:rPr>
              <w:t>行使日為</w:t>
            </w:r>
            <w:r w:rsidRPr="00751517">
              <w:rPr>
                <w:rFonts w:ascii="Times New Roman" w:eastAsia="標楷體" w:hAnsi="標楷體"/>
                <w:kern w:val="0"/>
                <w:szCs w:val="24"/>
              </w:rPr>
              <w:t>權證</w:t>
            </w:r>
            <w:proofErr w:type="gramStart"/>
            <w:r w:rsidRPr="00751517">
              <w:rPr>
                <w:rFonts w:ascii="Times New Roman" w:eastAsia="標楷體" w:hAnsi="標楷體"/>
                <w:kern w:val="0"/>
                <w:szCs w:val="24"/>
              </w:rPr>
              <w:t>到期日</w:t>
            </w:r>
            <w:r w:rsidRPr="00751517">
              <w:rPr>
                <w:rFonts w:ascii="Times New Roman" w:eastAsia="標楷體" w:hAnsi="標楷體" w:hint="eastAsia"/>
                <w:kern w:val="0"/>
                <w:szCs w:val="24"/>
              </w:rPr>
              <w:t>者</w:t>
            </w:r>
            <w:proofErr w:type="gramEnd"/>
            <w:r w:rsidRPr="00751517">
              <w:rPr>
                <w:rFonts w:ascii="Times New Roman" w:eastAsia="標楷體" w:hAnsi="標楷體" w:hint="eastAsia"/>
                <w:kern w:val="0"/>
                <w:szCs w:val="24"/>
              </w:rPr>
              <w:t>，</w:t>
            </w:r>
            <w:r w:rsidRPr="00751517">
              <w:rPr>
                <w:rFonts w:ascii="Times New Roman" w:eastAsia="標楷體" w:hAnsi="標楷體"/>
                <w:kern w:val="0"/>
                <w:szCs w:val="24"/>
              </w:rPr>
              <w:t>其現金結算額</w:t>
            </w:r>
            <w:r w:rsidRPr="00751517">
              <w:rPr>
                <w:rFonts w:ascii="Times New Roman" w:eastAsia="標楷體" w:hAnsi="標楷體" w:hint="eastAsia"/>
                <w:kern w:val="0"/>
                <w:szCs w:val="24"/>
              </w:rPr>
              <w:t>則以標的證券當日收盤前六十分鐘內成交價格之</w:t>
            </w:r>
            <w:r w:rsidRPr="00751517">
              <w:rPr>
                <w:rFonts w:ascii="Times New Roman" w:eastAsia="標楷體" w:hAnsi="標楷體" w:hint="eastAsia"/>
                <w:szCs w:val="24"/>
              </w:rPr>
              <w:t>簡單</w:t>
            </w:r>
            <w:r w:rsidRPr="00751517">
              <w:rPr>
                <w:rFonts w:ascii="Times New Roman" w:eastAsia="標楷體" w:hAnsi="標楷體" w:hint="eastAsia"/>
                <w:kern w:val="0"/>
                <w:szCs w:val="24"/>
              </w:rPr>
              <w:t>算術平均價</w:t>
            </w:r>
            <w:r w:rsidRPr="00751517">
              <w:rPr>
                <w:rFonts w:ascii="Times New Roman" w:eastAsia="標楷體" w:hAnsi="標楷體"/>
                <w:kern w:val="0"/>
                <w:szCs w:val="24"/>
              </w:rPr>
              <w:t>或</w:t>
            </w:r>
            <w:r w:rsidRPr="00751517">
              <w:rPr>
                <w:rFonts w:ascii="Times New Roman" w:eastAsia="標楷體" w:hAnsi="標楷體" w:hint="eastAsia"/>
                <w:kern w:val="0"/>
                <w:szCs w:val="24"/>
              </w:rPr>
              <w:t>標的指數當日收盤前三十分鐘內該</w:t>
            </w:r>
            <w:r w:rsidRPr="00751517">
              <w:rPr>
                <w:rFonts w:ascii="Times New Roman" w:eastAsia="標楷體" w:hAnsi="標楷體"/>
                <w:kern w:val="0"/>
                <w:szCs w:val="24"/>
              </w:rPr>
              <w:t>指數</w:t>
            </w:r>
            <w:r w:rsidRPr="00751517">
              <w:rPr>
                <w:rFonts w:ascii="Times New Roman" w:eastAsia="標楷體" w:hAnsi="標楷體" w:hint="eastAsia"/>
                <w:kern w:val="0"/>
                <w:szCs w:val="24"/>
              </w:rPr>
              <w:t>之簡單算術平均數計算，</w:t>
            </w:r>
            <w:r w:rsidRPr="00751517">
              <w:rPr>
                <w:rFonts w:ascii="Times New Roman" w:eastAsia="標楷體" w:hAnsi="標楷體" w:hint="eastAsia"/>
                <w:szCs w:val="24"/>
              </w:rPr>
              <w:t>如</w:t>
            </w:r>
            <w:r w:rsidRPr="00751517">
              <w:rPr>
                <w:rFonts w:ascii="Times New Roman" w:eastAsia="標楷體" w:hAnsi="標楷體" w:hint="eastAsia"/>
                <w:kern w:val="0"/>
                <w:szCs w:val="24"/>
              </w:rPr>
              <w:t>標的證券於前揭時間內無成交</w:t>
            </w:r>
            <w:r w:rsidRPr="00751517">
              <w:rPr>
                <w:rFonts w:ascii="Times New Roman" w:eastAsia="標楷體" w:hAnsi="標楷體" w:hint="eastAsia"/>
                <w:szCs w:val="24"/>
              </w:rPr>
              <w:t>價格者，則以最近一次成交價格計算</w:t>
            </w:r>
            <w:r w:rsidRPr="00751517">
              <w:rPr>
                <w:rFonts w:ascii="Times New Roman" w:eastAsia="標楷體" w:hAnsi="標楷體" w:hint="eastAsia"/>
                <w:kern w:val="0"/>
                <w:szCs w:val="24"/>
              </w:rPr>
              <w:t>。但以</w:t>
            </w:r>
            <w:r w:rsidRPr="00751517">
              <w:rPr>
                <w:rFonts w:ascii="Times New Roman" w:eastAsia="標楷體" w:hAnsi="標楷體" w:hint="eastAsia"/>
                <w:szCs w:val="24"/>
              </w:rPr>
              <w:t>外國證券或指數為</w:t>
            </w:r>
            <w:r w:rsidRPr="00751517">
              <w:rPr>
                <w:rFonts w:ascii="Times New Roman" w:eastAsia="標楷體" w:hAnsi="標楷體"/>
                <w:szCs w:val="24"/>
              </w:rPr>
              <w:t>標的</w:t>
            </w:r>
            <w:r w:rsidRPr="00751517">
              <w:rPr>
                <w:rFonts w:ascii="Times New Roman" w:eastAsia="標楷體" w:hAnsi="標楷體" w:hint="eastAsia"/>
                <w:szCs w:val="24"/>
              </w:rPr>
              <w:t>者，</w:t>
            </w:r>
            <w:r w:rsidRPr="00751517">
              <w:rPr>
                <w:rFonts w:ascii="Times New Roman" w:eastAsia="標楷體" w:hAnsi="標楷體"/>
                <w:kern w:val="0"/>
                <w:szCs w:val="24"/>
              </w:rPr>
              <w:t>應以</w:t>
            </w:r>
            <w:r w:rsidRPr="00751517">
              <w:rPr>
                <w:rFonts w:ascii="Times New Roman" w:eastAsia="標楷體" w:hAnsi="標楷體"/>
                <w:szCs w:val="24"/>
              </w:rPr>
              <w:t>權證</w:t>
            </w:r>
            <w:r w:rsidRPr="00751517">
              <w:rPr>
                <w:rFonts w:ascii="Times New Roman" w:eastAsia="標楷體" w:hAnsi="標楷體" w:hint="eastAsia"/>
                <w:kern w:val="0"/>
                <w:szCs w:val="24"/>
              </w:rPr>
              <w:t>到期</w:t>
            </w:r>
            <w:r w:rsidRPr="00751517">
              <w:rPr>
                <w:rFonts w:ascii="Times New Roman" w:eastAsia="標楷體" w:hAnsi="標楷體"/>
                <w:kern w:val="0"/>
                <w:szCs w:val="24"/>
              </w:rPr>
              <w:t>日</w:t>
            </w:r>
            <w:r w:rsidRPr="00751517">
              <w:rPr>
                <w:rFonts w:ascii="Times New Roman" w:eastAsia="標楷體" w:hAnsi="標楷體" w:hint="eastAsia"/>
                <w:kern w:val="0"/>
                <w:szCs w:val="24"/>
              </w:rPr>
              <w:t>下午六時前</w:t>
            </w:r>
            <w:r w:rsidRPr="00751517">
              <w:rPr>
                <w:rFonts w:ascii="Times New Roman" w:eastAsia="標楷體" w:hAnsi="標楷體"/>
                <w:kern w:val="0"/>
                <w:szCs w:val="24"/>
              </w:rPr>
              <w:t>標的證券</w:t>
            </w:r>
            <w:r w:rsidRPr="00751517">
              <w:rPr>
                <w:rFonts w:ascii="Times New Roman" w:eastAsia="標楷體" w:hAnsi="標楷體" w:hint="eastAsia"/>
                <w:kern w:val="0"/>
                <w:szCs w:val="24"/>
              </w:rPr>
              <w:t>最近一次</w:t>
            </w:r>
            <w:r w:rsidRPr="00751517">
              <w:rPr>
                <w:rFonts w:ascii="Times New Roman" w:eastAsia="標楷體" w:hAnsi="標楷體"/>
                <w:kern w:val="0"/>
                <w:szCs w:val="24"/>
              </w:rPr>
              <w:t>收盤價格</w:t>
            </w:r>
            <w:r w:rsidRPr="00751517">
              <w:rPr>
                <w:rFonts w:ascii="Times New Roman" w:eastAsia="標楷體" w:hAnsi="標楷體" w:hint="eastAsia"/>
                <w:kern w:val="0"/>
                <w:szCs w:val="24"/>
              </w:rPr>
              <w:t>依</w:t>
            </w:r>
            <w:r w:rsidRPr="00751517">
              <w:rPr>
                <w:rFonts w:ascii="Times New Roman" w:eastAsia="標楷體" w:hAnsi="標楷體" w:hint="eastAsia"/>
                <w:szCs w:val="24"/>
              </w:rPr>
              <w:t>臺灣銀行</w:t>
            </w:r>
            <w:r w:rsidRPr="00751517">
              <w:rPr>
                <w:rFonts w:ascii="Times New Roman" w:eastAsia="標楷體" w:hAnsi="標楷體" w:hint="eastAsia"/>
                <w:kern w:val="0"/>
                <w:szCs w:val="24"/>
              </w:rPr>
              <w:t>當日</w:t>
            </w:r>
            <w:r w:rsidRPr="00751517">
              <w:rPr>
                <w:rFonts w:ascii="Times New Roman" w:eastAsia="標楷體" w:hAnsi="標楷體" w:hint="eastAsia"/>
                <w:szCs w:val="24"/>
              </w:rPr>
              <w:t>外匯即期匯率收盤價</w:t>
            </w:r>
            <w:r w:rsidRPr="00751517">
              <w:rPr>
                <w:rFonts w:ascii="Times New Roman" w:eastAsia="標楷體" w:hAnsi="標楷體"/>
                <w:szCs w:val="24"/>
              </w:rPr>
              <w:t>之</w:t>
            </w:r>
            <w:r w:rsidRPr="00751517">
              <w:rPr>
                <w:rFonts w:ascii="Times New Roman" w:eastAsia="標楷體" w:hAnsi="標楷體" w:hint="eastAsia"/>
                <w:kern w:val="0"/>
                <w:szCs w:val="24"/>
              </w:rPr>
              <w:t>中價換算為新台幣</w:t>
            </w:r>
            <w:r w:rsidRPr="00751517">
              <w:rPr>
                <w:rFonts w:ascii="Times New Roman" w:eastAsia="標楷體" w:hAnsi="標楷體"/>
                <w:kern w:val="0"/>
                <w:szCs w:val="24"/>
              </w:rPr>
              <w:t>或標的指數</w:t>
            </w:r>
            <w:r w:rsidRPr="00751517">
              <w:rPr>
                <w:rFonts w:ascii="Times New Roman" w:eastAsia="標楷體" w:hAnsi="標楷體" w:hint="eastAsia"/>
                <w:kern w:val="0"/>
                <w:szCs w:val="24"/>
              </w:rPr>
              <w:t>最近一次</w:t>
            </w:r>
            <w:r w:rsidRPr="00751517">
              <w:rPr>
                <w:rFonts w:ascii="Times New Roman" w:eastAsia="標楷體" w:hAnsi="標楷體"/>
                <w:kern w:val="0"/>
                <w:szCs w:val="24"/>
              </w:rPr>
              <w:t>收盤指</w:t>
            </w:r>
            <w:r w:rsidRPr="00751517">
              <w:rPr>
                <w:rFonts w:ascii="Times New Roman" w:eastAsia="標楷體" w:hAnsi="標楷體" w:hint="eastAsia"/>
                <w:kern w:val="0"/>
                <w:szCs w:val="24"/>
              </w:rPr>
              <w:t>數</w:t>
            </w:r>
            <w:r w:rsidRPr="00751517">
              <w:rPr>
                <w:rFonts w:ascii="Times New Roman" w:eastAsia="標楷體" w:hAnsi="標楷體"/>
                <w:kern w:val="0"/>
                <w:szCs w:val="24"/>
              </w:rPr>
              <w:t>計算</w:t>
            </w:r>
            <w:r w:rsidRPr="00751517">
              <w:rPr>
                <w:rFonts w:ascii="Times New Roman" w:eastAsia="標楷體" w:hAnsi="標楷體" w:hint="eastAsia"/>
                <w:szCs w:val="24"/>
              </w:rPr>
              <w:t>。</w:t>
            </w:r>
          </w:p>
          <w:p w:rsidR="007C7D55" w:rsidRPr="00751517" w:rsidRDefault="007C7D55" w:rsidP="007416FD">
            <w:pPr>
              <w:widowControl/>
              <w:ind w:leftChars="300" w:left="720"/>
              <w:jc w:val="both"/>
              <w:rPr>
                <w:rFonts w:ascii="Times New Roman" w:eastAsia="標楷體" w:hAnsi="Times New Roman" w:hint="eastAsia"/>
                <w:kern w:val="0"/>
                <w:szCs w:val="24"/>
              </w:rPr>
            </w:pPr>
          </w:p>
          <w:p w:rsidR="007C7D55" w:rsidRPr="00751517" w:rsidRDefault="007C7D55" w:rsidP="007416FD">
            <w:pPr>
              <w:widowControl/>
              <w:ind w:leftChars="300" w:left="720"/>
              <w:jc w:val="both"/>
              <w:rPr>
                <w:rFonts w:ascii="Times New Roman" w:eastAsia="標楷體" w:hAnsi="Times New Roman" w:hint="eastAsia"/>
                <w:kern w:val="0"/>
                <w:szCs w:val="24"/>
              </w:rPr>
            </w:pPr>
          </w:p>
          <w:p w:rsidR="007C7D55" w:rsidRPr="00751517" w:rsidRDefault="007C7D55" w:rsidP="007416FD">
            <w:pPr>
              <w:widowControl/>
              <w:ind w:leftChars="300" w:left="720"/>
              <w:jc w:val="both"/>
              <w:rPr>
                <w:rFonts w:ascii="Times New Roman" w:eastAsia="標楷體" w:hAnsi="Times New Roman" w:hint="eastAsia"/>
                <w:kern w:val="0"/>
                <w:szCs w:val="24"/>
              </w:rPr>
            </w:pPr>
          </w:p>
          <w:p w:rsidR="007C7D55" w:rsidRPr="00751517" w:rsidRDefault="007C7D55" w:rsidP="007416FD">
            <w:pPr>
              <w:widowControl/>
              <w:ind w:leftChars="300" w:left="720"/>
              <w:jc w:val="both"/>
              <w:rPr>
                <w:rFonts w:ascii="Times New Roman" w:eastAsia="標楷體" w:hAnsi="Times New Roman" w:hint="eastAsia"/>
                <w:kern w:val="0"/>
                <w:szCs w:val="24"/>
              </w:rPr>
            </w:pPr>
          </w:p>
          <w:p w:rsidR="007C7D55" w:rsidRPr="00751517" w:rsidRDefault="007C7D55" w:rsidP="007416FD">
            <w:pPr>
              <w:widowControl/>
              <w:ind w:leftChars="300" w:left="720"/>
              <w:jc w:val="both"/>
              <w:rPr>
                <w:rFonts w:ascii="Times New Roman" w:eastAsia="標楷體" w:hAnsi="Times New Roman"/>
                <w:kern w:val="0"/>
                <w:szCs w:val="24"/>
              </w:rPr>
            </w:pPr>
            <w:r w:rsidRPr="00751517">
              <w:rPr>
                <w:rFonts w:ascii="Times New Roman" w:eastAsia="標楷體" w:hAnsi="標楷體"/>
                <w:kern w:val="0"/>
                <w:szCs w:val="24"/>
              </w:rPr>
              <w:t>前揭履約給付方式除現金結算外，權證到期具履約價值時，如持有人未及時申請履約，發行人得</w:t>
            </w:r>
            <w:proofErr w:type="gramStart"/>
            <w:r w:rsidRPr="00751517">
              <w:rPr>
                <w:rFonts w:ascii="Times New Roman" w:eastAsia="標楷體" w:hAnsi="標楷體"/>
                <w:kern w:val="0"/>
                <w:szCs w:val="24"/>
              </w:rPr>
              <w:t>採</w:t>
            </w:r>
            <w:proofErr w:type="gramEnd"/>
            <w:r w:rsidRPr="00751517">
              <w:rPr>
                <w:rFonts w:ascii="Times New Roman" w:eastAsia="標楷體" w:hAnsi="標楷體"/>
                <w:kern w:val="0"/>
                <w:szCs w:val="24"/>
              </w:rPr>
              <w:t>「到期價內自動現金結算」方式，以權證到期日標的證券</w:t>
            </w:r>
            <w:r w:rsidRPr="00751517">
              <w:rPr>
                <w:rFonts w:ascii="Times New Roman" w:eastAsia="標楷體" w:hAnsi="標楷體" w:hint="eastAsia"/>
                <w:kern w:val="0"/>
                <w:szCs w:val="24"/>
              </w:rPr>
              <w:t>當日收盤前六十分鐘內成交價格之</w:t>
            </w:r>
            <w:r w:rsidRPr="00751517">
              <w:rPr>
                <w:rFonts w:ascii="Times New Roman" w:eastAsia="標楷體" w:hAnsi="標楷體" w:hint="eastAsia"/>
                <w:szCs w:val="24"/>
              </w:rPr>
              <w:t>簡單</w:t>
            </w:r>
            <w:r w:rsidRPr="00751517">
              <w:rPr>
                <w:rFonts w:ascii="Times New Roman" w:eastAsia="標楷體" w:hAnsi="標楷體" w:hint="eastAsia"/>
                <w:kern w:val="0"/>
                <w:szCs w:val="24"/>
              </w:rPr>
              <w:t>算術平均價</w:t>
            </w:r>
            <w:r w:rsidRPr="00751517">
              <w:rPr>
                <w:rFonts w:ascii="Times New Roman" w:eastAsia="標楷體" w:hAnsi="標楷體"/>
                <w:b/>
                <w:bCs/>
                <w:kern w:val="0"/>
                <w:szCs w:val="24"/>
                <w:u w:val="single"/>
              </w:rPr>
              <w:t>或</w:t>
            </w:r>
            <w:r w:rsidRPr="00751517">
              <w:rPr>
                <w:rFonts w:ascii="Times New Roman" w:eastAsia="標楷體" w:hAnsi="標楷體" w:hint="eastAsia"/>
                <w:b/>
                <w:bCs/>
                <w:kern w:val="0"/>
                <w:szCs w:val="24"/>
                <w:u w:val="single"/>
              </w:rPr>
              <w:t>標的指數當日收盤前三十分鐘內該</w:t>
            </w:r>
            <w:r w:rsidRPr="00751517">
              <w:rPr>
                <w:rFonts w:ascii="Times New Roman" w:eastAsia="標楷體" w:hAnsi="標楷體"/>
                <w:b/>
                <w:bCs/>
                <w:kern w:val="0"/>
                <w:szCs w:val="24"/>
                <w:u w:val="single"/>
              </w:rPr>
              <w:t>指數</w:t>
            </w:r>
            <w:r w:rsidRPr="00751517">
              <w:rPr>
                <w:rFonts w:ascii="Times New Roman" w:eastAsia="標楷體" w:hAnsi="標楷體" w:hint="eastAsia"/>
                <w:b/>
                <w:bCs/>
                <w:kern w:val="0"/>
                <w:szCs w:val="24"/>
                <w:u w:val="single"/>
              </w:rPr>
              <w:t>之簡單算術平均數</w:t>
            </w:r>
            <w:r w:rsidRPr="00751517">
              <w:rPr>
                <w:rFonts w:ascii="Times New Roman" w:eastAsia="標楷體" w:hAnsi="標楷體" w:hint="eastAsia"/>
                <w:kern w:val="0"/>
                <w:szCs w:val="24"/>
              </w:rPr>
              <w:t>計算，</w:t>
            </w:r>
            <w:r w:rsidRPr="00751517">
              <w:rPr>
                <w:rFonts w:ascii="Times New Roman" w:eastAsia="標楷體" w:hAnsi="標楷體" w:hint="eastAsia"/>
                <w:szCs w:val="24"/>
              </w:rPr>
              <w:t>如</w:t>
            </w:r>
            <w:r w:rsidRPr="00751517">
              <w:rPr>
                <w:rFonts w:ascii="Times New Roman" w:eastAsia="標楷體" w:hAnsi="標楷體" w:hint="eastAsia"/>
                <w:kern w:val="0"/>
                <w:szCs w:val="24"/>
              </w:rPr>
              <w:t>標的證券於前揭時間內無成交</w:t>
            </w:r>
            <w:r w:rsidRPr="00751517">
              <w:rPr>
                <w:rFonts w:ascii="Times New Roman" w:eastAsia="標楷體" w:hAnsi="標楷體" w:hint="eastAsia"/>
                <w:szCs w:val="24"/>
              </w:rPr>
              <w:t>價格者，則以最近一次成交價格計算</w:t>
            </w:r>
            <w:r w:rsidRPr="00751517">
              <w:rPr>
                <w:rFonts w:ascii="Times New Roman" w:eastAsia="標楷體" w:hAnsi="標楷體" w:hint="eastAsia"/>
                <w:kern w:val="0"/>
                <w:szCs w:val="24"/>
              </w:rPr>
              <w:t>。</w:t>
            </w:r>
          </w:p>
          <w:p w:rsidR="007C7D55" w:rsidRPr="00751517" w:rsidRDefault="007C7D55" w:rsidP="007416FD">
            <w:pPr>
              <w:widowControl/>
              <w:ind w:leftChars="300" w:left="720"/>
              <w:jc w:val="both"/>
              <w:rPr>
                <w:rFonts w:ascii="Times New Roman" w:eastAsia="標楷體" w:hAnsi="Times New Roman" w:hint="eastAsia"/>
                <w:kern w:val="0"/>
                <w:szCs w:val="24"/>
              </w:rPr>
            </w:pPr>
          </w:p>
          <w:p w:rsidR="007C7D55" w:rsidRPr="00751517" w:rsidRDefault="007C7D55" w:rsidP="007416FD">
            <w:pPr>
              <w:widowControl/>
              <w:ind w:leftChars="300" w:left="720"/>
              <w:jc w:val="both"/>
              <w:rPr>
                <w:rFonts w:ascii="Times New Roman" w:eastAsia="標楷體" w:hAnsi="Times New Roman"/>
                <w:kern w:val="0"/>
                <w:szCs w:val="24"/>
              </w:rPr>
            </w:pPr>
            <w:r w:rsidRPr="00751517">
              <w:rPr>
                <w:rFonts w:ascii="Times New Roman" w:eastAsia="標楷體" w:hAnsi="標楷體"/>
                <w:kern w:val="0"/>
                <w:szCs w:val="24"/>
              </w:rPr>
              <w:t>持有人請求履約之認購（售）權證，其履約給付方式如屬以下三者之一，證券商需向持有人預收履約所需支付款</w:t>
            </w:r>
            <w:proofErr w:type="gramStart"/>
            <w:r w:rsidRPr="00751517">
              <w:rPr>
                <w:rFonts w:ascii="Times New Roman" w:eastAsia="標楷體" w:hAnsi="標楷體"/>
                <w:kern w:val="0"/>
                <w:szCs w:val="24"/>
              </w:rPr>
              <w:t>券</w:t>
            </w:r>
            <w:proofErr w:type="gramEnd"/>
            <w:r w:rsidRPr="00751517">
              <w:rPr>
                <w:rFonts w:ascii="Times New Roman" w:eastAsia="標楷體" w:hAnsi="標楷體"/>
                <w:kern w:val="0"/>
                <w:szCs w:val="24"/>
              </w:rPr>
              <w:t>。</w:t>
            </w:r>
          </w:p>
          <w:p w:rsidR="007C7D55" w:rsidRPr="00751517" w:rsidRDefault="007C7D55" w:rsidP="007416FD">
            <w:pPr>
              <w:widowControl/>
              <w:ind w:leftChars="300" w:left="1440" w:hangingChars="300" w:hanging="720"/>
              <w:jc w:val="both"/>
              <w:rPr>
                <w:rFonts w:ascii="Times New Roman" w:eastAsia="標楷體" w:hAnsi="Times New Roman"/>
                <w:kern w:val="0"/>
                <w:szCs w:val="24"/>
              </w:rPr>
            </w:pPr>
            <w:r w:rsidRPr="00751517">
              <w:rPr>
                <w:rFonts w:ascii="Times New Roman" w:eastAsia="標楷體" w:hAnsi="標楷體"/>
                <w:kern w:val="0"/>
                <w:szCs w:val="24"/>
              </w:rPr>
              <w:t>（一）「證券給付」之認購（售）權證。</w:t>
            </w:r>
          </w:p>
          <w:p w:rsidR="007C7D55" w:rsidRPr="00751517" w:rsidRDefault="007C7D55" w:rsidP="007416FD">
            <w:pPr>
              <w:widowControl/>
              <w:ind w:leftChars="300" w:left="1440" w:hangingChars="300" w:hanging="720"/>
              <w:jc w:val="both"/>
              <w:rPr>
                <w:rFonts w:ascii="Times New Roman" w:eastAsia="標楷體" w:hAnsi="Times New Roman"/>
                <w:kern w:val="0"/>
                <w:szCs w:val="24"/>
              </w:rPr>
            </w:pPr>
            <w:r w:rsidRPr="00751517">
              <w:rPr>
                <w:rFonts w:ascii="Times New Roman" w:eastAsia="標楷體" w:hAnsi="標楷體"/>
                <w:kern w:val="0"/>
                <w:szCs w:val="24"/>
              </w:rPr>
              <w:t>（二）「證券給付，惟發行人得選擇現金結算」之認購權證。</w:t>
            </w:r>
          </w:p>
          <w:p w:rsidR="007C7D55" w:rsidRPr="00751517" w:rsidRDefault="007C7D55" w:rsidP="007416FD">
            <w:pPr>
              <w:widowControl/>
              <w:ind w:leftChars="300" w:left="1440" w:hangingChars="300" w:hanging="720"/>
              <w:jc w:val="both"/>
              <w:rPr>
                <w:rFonts w:ascii="Times New Roman" w:eastAsia="標楷體" w:hAnsi="Times New Roman"/>
                <w:kern w:val="0"/>
                <w:szCs w:val="24"/>
              </w:rPr>
            </w:pPr>
            <w:r w:rsidRPr="00751517">
              <w:rPr>
                <w:rFonts w:ascii="Times New Roman" w:eastAsia="標楷體" w:hAnsi="標楷體"/>
                <w:kern w:val="0"/>
                <w:szCs w:val="24"/>
              </w:rPr>
              <w:t>（三）「證券給付，惟持有人得選擇現金結算」之認售權證，且持有人已指定</w:t>
            </w:r>
            <w:proofErr w:type="gramStart"/>
            <w:r w:rsidRPr="00751517">
              <w:rPr>
                <w:rFonts w:ascii="Times New Roman" w:eastAsia="標楷體" w:hAnsi="標楷體"/>
                <w:kern w:val="0"/>
                <w:szCs w:val="24"/>
              </w:rPr>
              <w:t>採</w:t>
            </w:r>
            <w:proofErr w:type="gramEnd"/>
            <w:r w:rsidRPr="00751517">
              <w:rPr>
                <w:rFonts w:ascii="Times New Roman" w:eastAsia="標楷體" w:hAnsi="標楷體"/>
                <w:kern w:val="0"/>
                <w:szCs w:val="24"/>
              </w:rPr>
              <w:t>「證券給付」。</w:t>
            </w:r>
          </w:p>
          <w:p w:rsidR="007C7D55" w:rsidRPr="00751517" w:rsidRDefault="007C7D55" w:rsidP="007416FD">
            <w:pPr>
              <w:widowControl/>
              <w:ind w:leftChars="300" w:left="720"/>
              <w:jc w:val="both"/>
              <w:rPr>
                <w:rFonts w:ascii="Times New Roman" w:eastAsia="標楷體" w:hAnsi="Times New Roman"/>
                <w:kern w:val="0"/>
                <w:szCs w:val="24"/>
              </w:rPr>
            </w:pPr>
            <w:r w:rsidRPr="00751517">
              <w:rPr>
                <w:rFonts w:ascii="Times New Roman" w:eastAsia="標楷體" w:hAnsi="標楷體"/>
                <w:kern w:val="0"/>
                <w:szCs w:val="24"/>
              </w:rPr>
              <w:t>但履約給付方式為「證券給付，惟發行人得選擇現金結算」之認購權證（即前開第二項），如發行人選擇以「現金結算」，或該持有人分配以「現金結算」，證券商應於持有人請求履約日後第一營業日退還預收之款項。</w:t>
            </w:r>
          </w:p>
          <w:p w:rsidR="007C7D55" w:rsidRDefault="007C7D55" w:rsidP="007416FD">
            <w:pPr>
              <w:widowControl/>
              <w:ind w:leftChars="300" w:left="720"/>
              <w:jc w:val="both"/>
              <w:rPr>
                <w:rFonts w:ascii="標楷體" w:eastAsia="標楷體" w:hAnsi="標楷體" w:cs="細明體" w:hint="eastAsia"/>
                <w:color w:val="333333"/>
                <w:kern w:val="0"/>
                <w:szCs w:val="24"/>
              </w:rPr>
            </w:pPr>
            <w:r w:rsidRPr="001B7551">
              <w:rPr>
                <w:rFonts w:ascii="標楷體" w:eastAsia="標楷體" w:hAnsi="標楷體" w:cs="細明體"/>
                <w:color w:val="333333"/>
                <w:kern w:val="0"/>
                <w:szCs w:val="24"/>
              </w:rPr>
              <w:t>上限型認購權證或</w:t>
            </w:r>
            <w:proofErr w:type="gramStart"/>
            <w:r w:rsidRPr="001B7551">
              <w:rPr>
                <w:rFonts w:ascii="標楷體" w:eastAsia="標楷體" w:hAnsi="標楷體" w:cs="細明體"/>
                <w:color w:val="333333"/>
                <w:kern w:val="0"/>
                <w:szCs w:val="24"/>
              </w:rPr>
              <w:t>下限型</w:t>
            </w:r>
            <w:r w:rsidRPr="001B7551">
              <w:rPr>
                <w:rFonts w:ascii="標楷體" w:eastAsia="標楷體" w:hAnsi="標楷體" w:cs="細明體"/>
                <w:color w:val="333333"/>
                <w:kern w:val="0"/>
                <w:szCs w:val="24"/>
              </w:rPr>
              <w:lastRenderedPageBreak/>
              <w:t>認售</w:t>
            </w:r>
            <w:proofErr w:type="gramEnd"/>
            <w:r w:rsidRPr="001B7551">
              <w:rPr>
                <w:rFonts w:ascii="標楷體" w:eastAsia="標楷體" w:hAnsi="標楷體" w:cs="細明體"/>
                <w:color w:val="333333"/>
                <w:kern w:val="0"/>
                <w:szCs w:val="24"/>
              </w:rPr>
              <w:t>權證，</w:t>
            </w:r>
            <w:proofErr w:type="gramStart"/>
            <w:r w:rsidRPr="001B7551">
              <w:rPr>
                <w:rFonts w:ascii="標楷體" w:eastAsia="標楷體" w:hAnsi="標楷體" w:cs="細明體"/>
                <w:color w:val="333333"/>
                <w:kern w:val="0"/>
                <w:szCs w:val="24"/>
              </w:rPr>
              <w:t>遇標的</w:t>
            </w:r>
            <w:proofErr w:type="gramEnd"/>
            <w:r w:rsidRPr="001B7551">
              <w:rPr>
                <w:rFonts w:ascii="標楷體" w:eastAsia="標楷體" w:hAnsi="標楷體" w:cs="細明體"/>
                <w:color w:val="333333"/>
                <w:kern w:val="0"/>
                <w:szCs w:val="24"/>
              </w:rPr>
              <w:t>證券之收盤價格或標的指數之收盤指數達到上（下）限價格或指數時，當日視同該權證最後交易日，並於次二營業日到期，按該權證最後交易日標的證券之收盤價格或標的指數之收盤指數</w:t>
            </w:r>
            <w:proofErr w:type="gramStart"/>
            <w:r w:rsidRPr="001B7551">
              <w:rPr>
                <w:rFonts w:ascii="標楷體" w:eastAsia="標楷體" w:hAnsi="標楷體" w:cs="細明體"/>
                <w:color w:val="333333"/>
                <w:kern w:val="0"/>
                <w:szCs w:val="24"/>
              </w:rPr>
              <w:t>採</w:t>
            </w:r>
            <w:proofErr w:type="gramEnd"/>
            <w:r w:rsidRPr="001B7551">
              <w:rPr>
                <w:rFonts w:ascii="標楷體" w:eastAsia="標楷體" w:hAnsi="標楷體" w:cs="細明體"/>
                <w:color w:val="333333"/>
                <w:kern w:val="0"/>
                <w:szCs w:val="24"/>
              </w:rPr>
              <w:t>自動現金結算方式辦理給付。</w:t>
            </w:r>
          </w:p>
          <w:p w:rsidR="007C7D55" w:rsidRPr="00652901" w:rsidRDefault="007C7D55" w:rsidP="007416FD">
            <w:pPr>
              <w:widowControl/>
              <w:ind w:leftChars="300" w:left="720"/>
              <w:jc w:val="both"/>
              <w:rPr>
                <w:rFonts w:ascii="Times New Roman" w:eastAsia="標楷體" w:hAnsi="Times New Roman" w:hint="eastAsia"/>
                <w:szCs w:val="24"/>
              </w:rPr>
            </w:pPr>
            <w:r w:rsidRPr="00652901">
              <w:rPr>
                <w:rFonts w:ascii="標楷體" w:eastAsia="標楷體" w:hAnsi="標楷體" w:cs="細明體" w:hint="eastAsia"/>
                <w:kern w:val="0"/>
                <w:szCs w:val="24"/>
              </w:rPr>
              <w:t>下限型認購權證</w:t>
            </w:r>
            <w:r w:rsidRPr="00652901">
              <w:rPr>
                <w:rFonts w:ascii="標楷體" w:eastAsia="標楷體" w:hAnsi="標楷體" w:cs="細明體"/>
                <w:kern w:val="0"/>
                <w:szCs w:val="24"/>
              </w:rPr>
              <w:t>或</w:t>
            </w:r>
            <w:proofErr w:type="gramStart"/>
            <w:r w:rsidRPr="00652901">
              <w:rPr>
                <w:rFonts w:ascii="標楷體" w:eastAsia="標楷體" w:hAnsi="標楷體" w:cs="細明體" w:hint="eastAsia"/>
                <w:kern w:val="0"/>
                <w:szCs w:val="24"/>
              </w:rPr>
              <w:t>上限型認售</w:t>
            </w:r>
            <w:proofErr w:type="gramEnd"/>
            <w:r w:rsidRPr="00652901">
              <w:rPr>
                <w:rFonts w:ascii="標楷體" w:eastAsia="標楷體" w:hAnsi="標楷體" w:cs="細明體" w:hint="eastAsia"/>
                <w:kern w:val="0"/>
                <w:szCs w:val="24"/>
              </w:rPr>
              <w:t>權證，</w:t>
            </w:r>
            <w:proofErr w:type="gramStart"/>
            <w:r w:rsidRPr="00652901">
              <w:rPr>
                <w:rFonts w:ascii="標楷體" w:eastAsia="標楷體" w:hAnsi="標楷體" w:cs="細明體"/>
                <w:kern w:val="0"/>
                <w:szCs w:val="24"/>
              </w:rPr>
              <w:t>遇標的</w:t>
            </w:r>
            <w:proofErr w:type="gramEnd"/>
            <w:r w:rsidRPr="00652901">
              <w:rPr>
                <w:rFonts w:ascii="標楷體" w:eastAsia="標楷體" w:hAnsi="標楷體" w:cs="細明體"/>
                <w:kern w:val="0"/>
                <w:szCs w:val="24"/>
              </w:rPr>
              <w:t>證券之收盤價格或標的指數之收盤指數達到</w:t>
            </w:r>
            <w:r w:rsidRPr="00652901">
              <w:rPr>
                <w:rFonts w:ascii="標楷體" w:eastAsia="標楷體" w:hAnsi="標楷體" w:cs="細明體" w:hint="eastAsia"/>
                <w:kern w:val="0"/>
                <w:szCs w:val="24"/>
              </w:rPr>
              <w:t>下</w:t>
            </w:r>
            <w:r w:rsidRPr="00652901">
              <w:rPr>
                <w:rFonts w:ascii="標楷體" w:eastAsia="標楷體" w:hAnsi="標楷體" w:cs="細明體"/>
                <w:kern w:val="0"/>
                <w:szCs w:val="24"/>
              </w:rPr>
              <w:t>（</w:t>
            </w:r>
            <w:r w:rsidRPr="00652901">
              <w:rPr>
                <w:rFonts w:ascii="標楷體" w:eastAsia="標楷體" w:hAnsi="標楷體" w:cs="細明體" w:hint="eastAsia"/>
                <w:kern w:val="0"/>
                <w:szCs w:val="24"/>
              </w:rPr>
              <w:t>上</w:t>
            </w:r>
            <w:r w:rsidRPr="00652901">
              <w:rPr>
                <w:rFonts w:ascii="標楷體" w:eastAsia="標楷體" w:hAnsi="標楷體" w:cs="細明體"/>
                <w:kern w:val="0"/>
                <w:szCs w:val="24"/>
              </w:rPr>
              <w:t>）限價格或指數時，當日視同該權證最後交易日，並於次二營業日到期，按該權證最後交易日</w:t>
            </w:r>
            <w:r w:rsidRPr="00652901">
              <w:rPr>
                <w:rFonts w:ascii="標楷體" w:eastAsia="標楷體" w:hAnsi="標楷體" w:cs="細明體" w:hint="eastAsia"/>
                <w:kern w:val="0"/>
                <w:szCs w:val="24"/>
              </w:rPr>
              <w:t>之次一營業日</w:t>
            </w:r>
            <w:r w:rsidRPr="00652901">
              <w:rPr>
                <w:rFonts w:eastAsia="標楷體" w:hint="eastAsia"/>
                <w:szCs w:val="24"/>
              </w:rPr>
              <w:t>標的證券</w:t>
            </w:r>
            <w:r w:rsidRPr="00652901">
              <w:rPr>
                <w:rFonts w:ascii="標楷體" w:eastAsia="標楷體" w:hAnsi="標楷體" w:cs="細明體" w:hint="eastAsia"/>
                <w:szCs w:val="24"/>
              </w:rPr>
              <w:t>成交價格之簡單算術平均價或標的指數之簡單算術平均數</w:t>
            </w:r>
            <w:proofErr w:type="gramStart"/>
            <w:r w:rsidRPr="00652901">
              <w:rPr>
                <w:rFonts w:ascii="標楷體" w:eastAsia="標楷體" w:hAnsi="標楷體" w:cs="細明體"/>
                <w:kern w:val="0"/>
                <w:szCs w:val="24"/>
              </w:rPr>
              <w:t>採</w:t>
            </w:r>
            <w:proofErr w:type="gramEnd"/>
            <w:r w:rsidRPr="00652901">
              <w:rPr>
                <w:rFonts w:ascii="標楷體" w:eastAsia="標楷體" w:hAnsi="標楷體" w:cs="細明體"/>
                <w:szCs w:val="24"/>
              </w:rPr>
              <w:t>自動現金結</w:t>
            </w:r>
            <w:r w:rsidRPr="00652901">
              <w:rPr>
                <w:rFonts w:ascii="標楷體" w:eastAsia="標楷體" w:hAnsi="標楷體" w:cs="細明體" w:hint="eastAsia"/>
                <w:szCs w:val="24"/>
              </w:rPr>
              <w:t>算</w:t>
            </w:r>
            <w:r w:rsidRPr="00652901">
              <w:rPr>
                <w:rFonts w:ascii="標楷體" w:eastAsia="標楷體" w:hAnsi="標楷體" w:cs="細明體"/>
                <w:kern w:val="0"/>
                <w:szCs w:val="24"/>
              </w:rPr>
              <w:t>方式辦理給付</w:t>
            </w:r>
            <w:r w:rsidRPr="00652901">
              <w:rPr>
                <w:rFonts w:ascii="標楷體" w:eastAsia="標楷體" w:hAnsi="標楷體" w:cs="細明體" w:hint="eastAsia"/>
                <w:szCs w:val="24"/>
              </w:rPr>
              <w:t>；如標的證券無成交價格，則按</w:t>
            </w:r>
            <w:r w:rsidRPr="00652901">
              <w:rPr>
                <w:rFonts w:ascii="標楷體" w:eastAsia="標楷體" w:hAnsi="標楷體" w:cs="細明體"/>
                <w:kern w:val="0"/>
                <w:szCs w:val="24"/>
              </w:rPr>
              <w:t>該權證</w:t>
            </w:r>
            <w:r w:rsidRPr="00652901">
              <w:rPr>
                <w:rFonts w:ascii="標楷體" w:eastAsia="標楷體" w:hAnsi="標楷體" w:cs="細明體" w:hint="eastAsia"/>
                <w:szCs w:val="24"/>
              </w:rPr>
              <w:t>到期日</w:t>
            </w:r>
            <w:r w:rsidRPr="00652901">
              <w:rPr>
                <w:rFonts w:eastAsia="標楷體" w:hint="eastAsia"/>
                <w:szCs w:val="24"/>
              </w:rPr>
              <w:t>標的證券</w:t>
            </w:r>
            <w:r w:rsidRPr="00652901">
              <w:rPr>
                <w:rFonts w:ascii="標楷體" w:eastAsia="標楷體" w:hAnsi="標楷體" w:cs="細明體" w:hint="eastAsia"/>
                <w:szCs w:val="24"/>
              </w:rPr>
              <w:t>開始交易基準價計算</w:t>
            </w:r>
            <w:r>
              <w:rPr>
                <w:rFonts w:ascii="標楷體" w:eastAsia="標楷體" w:hAnsi="標楷體" w:cs="細明體" w:hint="eastAsia"/>
                <w:szCs w:val="24"/>
              </w:rPr>
              <w:t>；</w:t>
            </w:r>
            <w:r w:rsidRPr="00652901">
              <w:rPr>
                <w:rFonts w:ascii="標楷體" w:eastAsia="標楷體" w:hAnsi="標楷體" w:cs="細明體" w:hint="eastAsia"/>
                <w:szCs w:val="24"/>
              </w:rPr>
              <w:t>如</w:t>
            </w:r>
            <w:r w:rsidRPr="00652901">
              <w:rPr>
                <w:rFonts w:ascii="標楷體" w:eastAsia="標楷體" w:hAnsi="標楷體"/>
                <w:szCs w:val="24"/>
              </w:rPr>
              <w:t>最後交易日</w:t>
            </w:r>
            <w:r w:rsidRPr="00652901">
              <w:rPr>
                <w:rFonts w:ascii="標楷體" w:eastAsia="標楷體" w:hAnsi="標楷體" w:hint="eastAsia"/>
                <w:szCs w:val="24"/>
              </w:rPr>
              <w:t>之次一營業日及</w:t>
            </w:r>
            <w:r w:rsidRPr="00652901">
              <w:rPr>
                <w:rFonts w:ascii="標楷體" w:eastAsia="標楷體" w:hAnsi="標楷體" w:cs="細明體" w:hint="eastAsia"/>
                <w:szCs w:val="24"/>
              </w:rPr>
              <w:t>到期日</w:t>
            </w:r>
            <w:r w:rsidRPr="00652901">
              <w:rPr>
                <w:rFonts w:eastAsia="標楷體" w:hint="eastAsia"/>
                <w:szCs w:val="24"/>
              </w:rPr>
              <w:t>標的證券暫停交易或停止買賣</w:t>
            </w:r>
            <w:r w:rsidRPr="00652901">
              <w:rPr>
                <w:rFonts w:ascii="標楷體" w:eastAsia="標楷體" w:hAnsi="標楷體" w:cs="細明體" w:hint="eastAsia"/>
                <w:szCs w:val="24"/>
              </w:rPr>
              <w:t>，則按</w:t>
            </w:r>
            <w:r w:rsidRPr="00652901">
              <w:rPr>
                <w:rFonts w:ascii="標楷體" w:eastAsia="標楷體" w:hAnsi="標楷體"/>
                <w:szCs w:val="24"/>
              </w:rPr>
              <w:t>最後交易日</w:t>
            </w:r>
            <w:r w:rsidRPr="00652901">
              <w:rPr>
                <w:rFonts w:eastAsia="標楷體" w:hint="eastAsia"/>
                <w:szCs w:val="24"/>
              </w:rPr>
              <w:t>標的證券</w:t>
            </w:r>
            <w:r w:rsidRPr="00652901">
              <w:rPr>
                <w:rFonts w:ascii="標楷體" w:eastAsia="標楷體" w:hAnsi="標楷體"/>
                <w:szCs w:val="24"/>
              </w:rPr>
              <w:t>之收盤價格</w:t>
            </w:r>
            <w:r w:rsidRPr="00652901">
              <w:rPr>
                <w:rFonts w:ascii="標楷體" w:eastAsia="標楷體" w:hAnsi="標楷體" w:cs="細明體" w:hint="eastAsia"/>
                <w:szCs w:val="24"/>
              </w:rPr>
              <w:t>計算</w:t>
            </w:r>
            <w:r w:rsidRPr="00652901">
              <w:rPr>
                <w:rFonts w:ascii="標楷體" w:eastAsia="標楷體" w:hAnsi="標楷體" w:cs="細明體"/>
                <w:kern w:val="0"/>
                <w:szCs w:val="24"/>
              </w:rPr>
              <w:t>。</w:t>
            </w:r>
          </w:p>
          <w:p w:rsidR="007C7D55" w:rsidRPr="00751517" w:rsidRDefault="007C7D55" w:rsidP="007C7D5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Lines="50" w:before="180" w:afterLines="50" w:after="180"/>
              <w:ind w:leftChars="100" w:left="240"/>
              <w:jc w:val="both"/>
              <w:rPr>
                <w:rFonts w:ascii="Times New Roman" w:eastAsia="標楷體" w:hAnsi="Times New Roman" w:hint="eastAsia"/>
                <w:color w:val="auto"/>
                <w:sz w:val="24"/>
                <w:szCs w:val="24"/>
              </w:rPr>
            </w:pPr>
            <w:r w:rsidRPr="00751517">
              <w:rPr>
                <w:rFonts w:ascii="Times New Roman" w:eastAsia="標楷體" w:hAnsi="標楷體" w:hint="eastAsia"/>
                <w:color w:val="auto"/>
                <w:sz w:val="24"/>
                <w:szCs w:val="24"/>
              </w:rPr>
              <w:t>（第六款至第十款略）</w:t>
            </w:r>
          </w:p>
        </w:tc>
        <w:tc>
          <w:tcPr>
            <w:tcW w:w="3440" w:type="dxa"/>
          </w:tcPr>
          <w:p w:rsidR="007C7D55" w:rsidRPr="00751517" w:rsidRDefault="007C7D55" w:rsidP="007416FD">
            <w:pPr>
              <w:jc w:val="both"/>
              <w:rPr>
                <w:rFonts w:ascii="Times New Roman" w:eastAsia="標楷體" w:hAnsi="Times New Roman" w:hint="eastAsia"/>
                <w:szCs w:val="24"/>
              </w:rPr>
            </w:pPr>
            <w:r w:rsidRPr="00751517">
              <w:rPr>
                <w:rFonts w:ascii="Times New Roman" w:eastAsia="標楷體" w:hAnsi="標楷體" w:hint="eastAsia"/>
                <w:szCs w:val="24"/>
              </w:rPr>
              <w:lastRenderedPageBreak/>
              <w:t>配合收盤前資訊揭露實施個股暫緩收盤之配套措施，明訂到期日以現金結算方式履約之權證，於計算結算價格或結算指數時，延緩時間內之成交價格或指數應一併列入計算，另配合現行實務作業，指數型權證之履約給付方式皆為現金結算，</w:t>
            </w:r>
            <w:proofErr w:type="gramStart"/>
            <w:r w:rsidRPr="00751517">
              <w:rPr>
                <w:rFonts w:ascii="Times New Roman" w:eastAsia="標楷體" w:hAnsi="標楷體" w:hint="eastAsia"/>
                <w:szCs w:val="24"/>
              </w:rPr>
              <w:t>爰</w:t>
            </w:r>
            <w:proofErr w:type="gramEnd"/>
            <w:r w:rsidRPr="00751517">
              <w:rPr>
                <w:rFonts w:ascii="Times New Roman" w:eastAsia="標楷體" w:hAnsi="標楷體" w:hint="eastAsia"/>
                <w:szCs w:val="24"/>
              </w:rPr>
              <w:t>修正第壹點第一項第五款第二、三目規定。</w:t>
            </w:r>
          </w:p>
        </w:tc>
      </w:tr>
    </w:tbl>
    <w:p w:rsidR="007C7D55" w:rsidRPr="00751517" w:rsidRDefault="007C7D55" w:rsidP="007C7D55">
      <w:pPr>
        <w:spacing w:line="20" w:lineRule="exact"/>
      </w:pPr>
    </w:p>
    <w:p w:rsidR="00813AA7" w:rsidRPr="007C7D55" w:rsidRDefault="007D3851">
      <w:bookmarkStart w:id="1" w:name="_GoBack"/>
      <w:bookmarkEnd w:id="1"/>
    </w:p>
    <w:sectPr w:rsidR="00813AA7" w:rsidRPr="007C7D55" w:rsidSect="007C7D55">
      <w:pgSz w:w="11906" w:h="16838"/>
      <w:pgMar w:top="680" w:right="680" w:bottom="680" w:left="6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D55"/>
    <w:rsid w:val="007C7D55"/>
    <w:rsid w:val="007D3851"/>
    <w:rsid w:val="00C26138"/>
    <w:rsid w:val="00ED26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D55"/>
    <w:pPr>
      <w:widowControl w:val="0"/>
    </w:pPr>
    <w:rPr>
      <w:rFonts w:ascii="Calibri" w:eastAsia="新細明體" w:hAnsi="Calibri" w:cs="Times New Roman"/>
    </w:rPr>
  </w:style>
  <w:style w:type="paragraph" w:styleId="1">
    <w:name w:val="heading 1"/>
    <w:basedOn w:val="a"/>
    <w:next w:val="a"/>
    <w:link w:val="10"/>
    <w:qFormat/>
    <w:rsid w:val="007C7D55"/>
    <w:pPr>
      <w:keepNext/>
      <w:adjustRightInd w:val="0"/>
      <w:spacing w:afterLines="25" w:after="90" w:line="360" w:lineRule="exact"/>
      <w:jc w:val="center"/>
      <w:textAlignment w:val="baseline"/>
      <w:outlineLvl w:val="0"/>
    </w:pPr>
    <w:rPr>
      <w:rFonts w:ascii="Times New Roman" w:eastAsia="標楷體" w:hAnsi="Arial"/>
      <w:b/>
      <w:bCs/>
      <w:w w:val="67"/>
      <w:kern w:val="0"/>
      <w:sz w:val="32"/>
      <w:szCs w:val="32"/>
      <w:fitText w:val="10319" w:id="-3807749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7C7D55"/>
    <w:rPr>
      <w:rFonts w:ascii="Times New Roman" w:eastAsia="標楷體" w:hAnsi="Arial" w:cs="Times New Roman"/>
      <w:b/>
      <w:bCs/>
      <w:w w:val="67"/>
      <w:kern w:val="0"/>
      <w:sz w:val="32"/>
      <w:szCs w:val="32"/>
      <w:fitText w:val="10319" w:id="-380774912"/>
    </w:rPr>
  </w:style>
  <w:style w:type="paragraph" w:styleId="HTML">
    <w:name w:val="HTML Preformatted"/>
    <w:basedOn w:val="a"/>
    <w:link w:val="HTML0"/>
    <w:uiPriority w:val="99"/>
    <w:rsid w:val="007C7D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olor w:val="000000"/>
      <w:kern w:val="0"/>
      <w:sz w:val="20"/>
      <w:szCs w:val="20"/>
    </w:rPr>
  </w:style>
  <w:style w:type="character" w:customStyle="1" w:styleId="HTML0">
    <w:name w:val="HTML 預設格式 字元"/>
    <w:basedOn w:val="a0"/>
    <w:link w:val="HTML"/>
    <w:uiPriority w:val="99"/>
    <w:rsid w:val="007C7D55"/>
    <w:rPr>
      <w:rFonts w:ascii="細明體" w:eastAsia="細明體" w:hAnsi="Courier New" w:cs="Times New Roman"/>
      <w:color w:val="000000"/>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D55"/>
    <w:pPr>
      <w:widowControl w:val="0"/>
    </w:pPr>
    <w:rPr>
      <w:rFonts w:ascii="Calibri" w:eastAsia="新細明體" w:hAnsi="Calibri" w:cs="Times New Roman"/>
    </w:rPr>
  </w:style>
  <w:style w:type="paragraph" w:styleId="1">
    <w:name w:val="heading 1"/>
    <w:basedOn w:val="a"/>
    <w:next w:val="a"/>
    <w:link w:val="10"/>
    <w:qFormat/>
    <w:rsid w:val="007C7D55"/>
    <w:pPr>
      <w:keepNext/>
      <w:adjustRightInd w:val="0"/>
      <w:spacing w:afterLines="25" w:after="90" w:line="360" w:lineRule="exact"/>
      <w:jc w:val="center"/>
      <w:textAlignment w:val="baseline"/>
      <w:outlineLvl w:val="0"/>
    </w:pPr>
    <w:rPr>
      <w:rFonts w:ascii="Times New Roman" w:eastAsia="標楷體" w:hAnsi="Arial"/>
      <w:b/>
      <w:bCs/>
      <w:w w:val="67"/>
      <w:kern w:val="0"/>
      <w:sz w:val="32"/>
      <w:szCs w:val="32"/>
      <w:fitText w:val="10319" w:id="-3807749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7C7D55"/>
    <w:rPr>
      <w:rFonts w:ascii="Times New Roman" w:eastAsia="標楷體" w:hAnsi="Arial" w:cs="Times New Roman"/>
      <w:b/>
      <w:bCs/>
      <w:w w:val="67"/>
      <w:kern w:val="0"/>
      <w:sz w:val="32"/>
      <w:szCs w:val="32"/>
      <w:fitText w:val="10319" w:id="-380774912"/>
    </w:rPr>
  </w:style>
  <w:style w:type="paragraph" w:styleId="HTML">
    <w:name w:val="HTML Preformatted"/>
    <w:basedOn w:val="a"/>
    <w:link w:val="HTML0"/>
    <w:uiPriority w:val="99"/>
    <w:rsid w:val="007C7D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olor w:val="000000"/>
      <w:kern w:val="0"/>
      <w:sz w:val="20"/>
      <w:szCs w:val="20"/>
    </w:rPr>
  </w:style>
  <w:style w:type="character" w:customStyle="1" w:styleId="HTML0">
    <w:name w:val="HTML 預設格式 字元"/>
    <w:basedOn w:val="a0"/>
    <w:link w:val="HTML"/>
    <w:uiPriority w:val="99"/>
    <w:rsid w:val="007C7D55"/>
    <w:rPr>
      <w:rFonts w:ascii="細明體" w:eastAsia="細明體" w:hAnsi="Courier New" w:cs="Times New Roman"/>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0DC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363</Words>
  <Characters>2075</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張翠蘭</dc:creator>
  <cp:lastModifiedBy>張翠蘭</cp:lastModifiedBy>
  <cp:revision>2</cp:revision>
  <dcterms:created xsi:type="dcterms:W3CDTF">2015-06-18T02:55:00Z</dcterms:created>
  <dcterms:modified xsi:type="dcterms:W3CDTF">2015-06-18T02:58:00Z</dcterms:modified>
</cp:coreProperties>
</file>