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CE49C2" w:rsidRPr="00CE49C2" w:rsidTr="00CE49C2">
        <w:trPr>
          <w:tblCellSpacing w:w="0" w:type="dxa"/>
          <w:jc w:val="center"/>
        </w:trPr>
        <w:tc>
          <w:tcPr>
            <w:tcW w:w="0" w:type="auto"/>
            <w:vAlign w:val="center"/>
            <w:hideMark/>
          </w:tcPr>
          <w:p w:rsidR="00CE49C2" w:rsidRPr="00CE49C2" w:rsidRDefault="00CE49C2" w:rsidP="00CE49C2">
            <w:pPr>
              <w:widowControl/>
              <w:spacing w:before="100" w:beforeAutospacing="1" w:after="100" w:afterAutospacing="1"/>
              <w:jc w:val="center"/>
              <w:rPr>
                <w:rFonts w:ascii="新細明體" w:eastAsia="新細明體" w:hAnsi="新細明體" w:cs="新細明體"/>
                <w:kern w:val="0"/>
                <w:szCs w:val="24"/>
              </w:rPr>
            </w:pPr>
            <w:r w:rsidRPr="00CE49C2">
              <w:rPr>
                <w:rFonts w:ascii="標楷體" w:eastAsia="標楷體" w:hAnsi="標楷體" w:cs="新細明體"/>
                <w:kern w:val="0"/>
                <w:szCs w:val="24"/>
              </w:rPr>
              <w:t>財團法人中華民國證券櫃檯買賣中心 公告</w:t>
            </w:r>
          </w:p>
          <w:p w:rsidR="00CE49C2" w:rsidRPr="00CE49C2" w:rsidRDefault="00CE49C2" w:rsidP="00CE49C2">
            <w:pPr>
              <w:widowControl/>
              <w:jc w:val="center"/>
              <w:rPr>
                <w:rFonts w:ascii="新細明體" w:eastAsia="新細明體" w:hAnsi="新細明體" w:cs="新細明體"/>
                <w:kern w:val="0"/>
                <w:szCs w:val="24"/>
              </w:rPr>
            </w:pPr>
          </w:p>
        </w:tc>
      </w:tr>
    </w:tbl>
    <w:p w:rsidR="00CE49C2" w:rsidRPr="00CE49C2" w:rsidRDefault="00CE49C2" w:rsidP="00CE49C2">
      <w:pPr>
        <w:widowControl/>
        <w:rPr>
          <w:rFonts w:ascii="新細明體" w:eastAsia="新細明體" w:hAnsi="新細明體" w:cs="新細明體"/>
          <w:vanish/>
          <w:kern w:val="0"/>
          <w:szCs w:val="24"/>
        </w:rPr>
      </w:pP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CE49C2" w:rsidRPr="00CE49C2" w:rsidTr="00CE49C2">
        <w:trPr>
          <w:tblCellSpacing w:w="0" w:type="dxa"/>
          <w:jc w:val="center"/>
        </w:trPr>
        <w:tc>
          <w:tcPr>
            <w:tcW w:w="0" w:type="auto"/>
            <w:vAlign w:val="center"/>
            <w:hideMark/>
          </w:tcPr>
          <w:p w:rsidR="00CE49C2" w:rsidRPr="00CE49C2" w:rsidRDefault="00CE49C2" w:rsidP="00CE49C2">
            <w:pPr>
              <w:widowControl/>
              <w:spacing w:before="100" w:beforeAutospacing="1" w:after="100" w:afterAutospacing="1"/>
              <w:rPr>
                <w:rFonts w:ascii="新細明體" w:eastAsia="新細明體" w:hAnsi="新細明體" w:cs="新細明體"/>
                <w:kern w:val="0"/>
                <w:szCs w:val="24"/>
              </w:rPr>
            </w:pPr>
            <w:r w:rsidRPr="00CE49C2">
              <w:rPr>
                <w:rFonts w:ascii="標楷體" w:eastAsia="標楷體" w:hAnsi="標楷體" w:cs="新細明體"/>
                <w:kern w:val="0"/>
                <w:szCs w:val="24"/>
              </w:rPr>
              <w:t>發文日期：中華民國104年4月10日</w:t>
            </w:r>
          </w:p>
        </w:tc>
      </w:tr>
      <w:tr w:rsidR="00CE49C2" w:rsidRPr="00CE49C2" w:rsidTr="00CE49C2">
        <w:trPr>
          <w:tblCellSpacing w:w="0" w:type="dxa"/>
          <w:jc w:val="center"/>
        </w:trPr>
        <w:tc>
          <w:tcPr>
            <w:tcW w:w="0" w:type="auto"/>
            <w:vAlign w:val="center"/>
            <w:hideMark/>
          </w:tcPr>
          <w:p w:rsidR="00CE49C2" w:rsidRPr="00CE49C2" w:rsidRDefault="00CE49C2" w:rsidP="00CE49C2">
            <w:pPr>
              <w:widowControl/>
              <w:spacing w:before="100" w:beforeAutospacing="1" w:after="100" w:afterAutospacing="1"/>
              <w:rPr>
                <w:rFonts w:ascii="新細明體" w:eastAsia="新細明體" w:hAnsi="新細明體" w:cs="新細明體"/>
                <w:kern w:val="0"/>
                <w:szCs w:val="24"/>
              </w:rPr>
            </w:pPr>
            <w:r w:rsidRPr="00CE49C2">
              <w:rPr>
                <w:rFonts w:ascii="標楷體" w:eastAsia="標楷體" w:hAnsi="標楷體" w:cs="新細明體"/>
                <w:kern w:val="0"/>
                <w:szCs w:val="24"/>
              </w:rPr>
              <w:t>發文字號：</w:t>
            </w:r>
            <w:proofErr w:type="gramStart"/>
            <w:r w:rsidRPr="00CE49C2">
              <w:rPr>
                <w:rFonts w:ascii="標楷體" w:eastAsia="標楷體" w:hAnsi="標楷體" w:cs="新細明體"/>
                <w:kern w:val="0"/>
                <w:szCs w:val="24"/>
              </w:rPr>
              <w:t>證櫃交字</w:t>
            </w:r>
            <w:proofErr w:type="gramEnd"/>
            <w:r w:rsidRPr="00CE49C2">
              <w:rPr>
                <w:rFonts w:ascii="標楷體" w:eastAsia="標楷體" w:hAnsi="標楷體" w:cs="新細明體"/>
                <w:kern w:val="0"/>
                <w:szCs w:val="24"/>
              </w:rPr>
              <w:t>第10400080401號</w:t>
            </w:r>
          </w:p>
        </w:tc>
      </w:tr>
    </w:tbl>
    <w:p w:rsidR="00CE49C2" w:rsidRPr="00CE49C2" w:rsidRDefault="00CE49C2" w:rsidP="00CE49C2">
      <w:pPr>
        <w:widowControl/>
        <w:rPr>
          <w:rFonts w:ascii="新細明體" w:eastAsia="新細明體" w:hAnsi="新細明體" w:cs="新細明體"/>
          <w:vanish/>
          <w:kern w:val="0"/>
          <w:szCs w:val="24"/>
        </w:rPr>
      </w:pP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CE49C2" w:rsidRPr="00CE49C2" w:rsidTr="00CE49C2">
        <w:trPr>
          <w:tblCellSpacing w:w="0" w:type="dxa"/>
          <w:jc w:val="center"/>
        </w:trPr>
        <w:tc>
          <w:tcPr>
            <w:tcW w:w="5000" w:type="pct"/>
            <w:vAlign w:val="center"/>
            <w:hideMark/>
          </w:tcPr>
          <w:p w:rsidR="00CE49C2" w:rsidRPr="00CE49C2" w:rsidRDefault="00CE49C2" w:rsidP="00CE49C2">
            <w:pPr>
              <w:widowControl/>
              <w:spacing w:before="100" w:beforeAutospacing="1" w:after="100" w:afterAutospacing="1"/>
              <w:rPr>
                <w:rFonts w:ascii="新細明體" w:eastAsia="新細明體" w:hAnsi="新細明體" w:cs="新細明體"/>
                <w:kern w:val="0"/>
                <w:szCs w:val="24"/>
              </w:rPr>
            </w:pPr>
            <w:r w:rsidRPr="00CE49C2">
              <w:rPr>
                <w:rFonts w:ascii="標楷體" w:eastAsia="標楷體" w:hAnsi="標楷體" w:cs="新細明體"/>
                <w:kern w:val="0"/>
                <w:szCs w:val="24"/>
              </w:rPr>
              <w:t>附件：如文</w:t>
            </w:r>
          </w:p>
        </w:tc>
      </w:tr>
    </w:tbl>
    <w:p w:rsidR="00CE49C2" w:rsidRPr="00CE49C2" w:rsidRDefault="00CE49C2" w:rsidP="00CE49C2">
      <w:pPr>
        <w:widowControl/>
        <w:rPr>
          <w:rFonts w:ascii="新細明體" w:eastAsia="新細明體" w:hAnsi="新細明體" w:cs="新細明體"/>
          <w:kern w:val="0"/>
          <w:szCs w:val="24"/>
        </w:rPr>
      </w:pP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CE49C2" w:rsidRPr="00CE49C2" w:rsidTr="00CE49C2">
        <w:trPr>
          <w:tblCellSpacing w:w="0" w:type="dxa"/>
          <w:jc w:val="center"/>
        </w:trPr>
        <w:tc>
          <w:tcPr>
            <w:tcW w:w="5000" w:type="pct"/>
            <w:vAlign w:val="center"/>
            <w:hideMark/>
          </w:tcPr>
          <w:p w:rsidR="00CE49C2" w:rsidRPr="00CE49C2" w:rsidRDefault="00CE49C2" w:rsidP="00CE49C2">
            <w:pPr>
              <w:widowControl/>
              <w:ind w:left="720" w:hangingChars="300" w:hanging="720"/>
              <w:jc w:val="both"/>
              <w:divId w:val="935669700"/>
              <w:rPr>
                <w:rFonts w:ascii="標楷體" w:eastAsia="標楷體" w:hAnsi="標楷體" w:cs="新細明體"/>
                <w:kern w:val="0"/>
                <w:szCs w:val="24"/>
              </w:rPr>
            </w:pPr>
            <w:r w:rsidRPr="00CE49C2">
              <w:rPr>
                <w:rFonts w:ascii="標楷體" w:eastAsia="標楷體" w:hAnsi="標楷體" w:cs="新細明體"/>
                <w:kern w:val="0"/>
                <w:szCs w:val="24"/>
              </w:rPr>
              <w:t>主旨：修正本中心「證券商營業處所買賣有價證券業務規則」等6項相關規章，</w:t>
            </w:r>
            <w:proofErr w:type="gramStart"/>
            <w:r w:rsidRPr="00CE49C2">
              <w:rPr>
                <w:rFonts w:ascii="標楷體" w:eastAsia="標楷體" w:hAnsi="標楷體" w:cs="新細明體"/>
                <w:kern w:val="0"/>
                <w:szCs w:val="24"/>
              </w:rPr>
              <w:t>暨本中心</w:t>
            </w:r>
            <w:proofErr w:type="gramEnd"/>
            <w:r w:rsidRPr="00CE49C2">
              <w:rPr>
                <w:rFonts w:ascii="標楷體" w:eastAsia="標楷體" w:hAnsi="標楷體" w:cs="新細明體"/>
                <w:kern w:val="0"/>
                <w:szCs w:val="24"/>
              </w:rPr>
              <w:t>會同臺灣證券交易所股份有限公司修正之「證券商辦理有價證券買賣融資融券業務操作辦法」等3項規章如附件。其中，信用交易整戶擔保維持率調整至130%，自本（104）年5月4日起實施；放寬漲跌幅度至10%及其餘措施，均自本年6月1日起實施。</w:t>
            </w:r>
          </w:p>
        </w:tc>
      </w:tr>
    </w:tbl>
    <w:p w:rsidR="00CE49C2" w:rsidRPr="00CE49C2" w:rsidRDefault="00CE49C2" w:rsidP="00CE49C2">
      <w:pPr>
        <w:widowControl/>
        <w:jc w:val="both"/>
        <w:rPr>
          <w:rFonts w:ascii="新細明體" w:eastAsia="新細明體" w:hAnsi="新細明體" w:cs="新細明體"/>
          <w:vanish/>
          <w:kern w:val="0"/>
          <w:szCs w:val="24"/>
        </w:rPr>
      </w:pP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CE49C2" w:rsidRPr="00CE49C2" w:rsidTr="00CE49C2">
        <w:trPr>
          <w:tblCellSpacing w:w="0" w:type="dxa"/>
          <w:jc w:val="center"/>
        </w:trPr>
        <w:tc>
          <w:tcPr>
            <w:tcW w:w="5000" w:type="pct"/>
            <w:vAlign w:val="center"/>
            <w:hideMark/>
          </w:tcPr>
          <w:p w:rsidR="00CE49C2" w:rsidRPr="00CE49C2" w:rsidRDefault="00CE49C2" w:rsidP="00CE49C2">
            <w:pPr>
              <w:widowControl/>
              <w:ind w:left="720" w:hangingChars="300" w:hanging="720"/>
              <w:jc w:val="both"/>
              <w:divId w:val="782923162"/>
              <w:rPr>
                <w:rFonts w:ascii="標楷體" w:eastAsia="標楷體" w:hAnsi="標楷體" w:cs="新細明體"/>
                <w:kern w:val="0"/>
                <w:szCs w:val="24"/>
              </w:rPr>
            </w:pPr>
            <w:r w:rsidRPr="00CE49C2">
              <w:rPr>
                <w:rFonts w:ascii="標楷體" w:eastAsia="標楷體" w:hAnsi="標楷體" w:cs="新細明體"/>
                <w:kern w:val="0"/>
                <w:szCs w:val="24"/>
              </w:rPr>
              <w:t>依據：本中心「證券商營業處所買賣有價證券業務規則」第102條及金融監督管理委員會本年3月31日金</w:t>
            </w:r>
            <w:proofErr w:type="gramStart"/>
            <w:r w:rsidRPr="00CE49C2">
              <w:rPr>
                <w:rFonts w:ascii="標楷體" w:eastAsia="標楷體" w:hAnsi="標楷體" w:cs="新細明體"/>
                <w:kern w:val="0"/>
                <w:szCs w:val="24"/>
              </w:rPr>
              <w:t>管證交字</w:t>
            </w:r>
            <w:proofErr w:type="gramEnd"/>
            <w:r w:rsidRPr="00CE49C2">
              <w:rPr>
                <w:rFonts w:ascii="標楷體" w:eastAsia="標楷體" w:hAnsi="標楷體" w:cs="新細明體"/>
                <w:kern w:val="0"/>
                <w:szCs w:val="24"/>
              </w:rPr>
              <w:t>第10400070341號函。</w:t>
            </w:r>
          </w:p>
        </w:tc>
      </w:tr>
    </w:tbl>
    <w:p w:rsidR="00CE49C2" w:rsidRPr="00CE49C2" w:rsidRDefault="00CE49C2" w:rsidP="00CE49C2">
      <w:pPr>
        <w:widowControl/>
        <w:jc w:val="both"/>
        <w:rPr>
          <w:rFonts w:ascii="新細明體" w:eastAsia="新細明體" w:hAnsi="新細明體" w:cs="新細明體"/>
          <w:vanish/>
          <w:kern w:val="0"/>
          <w:szCs w:val="24"/>
        </w:rPr>
      </w:pP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CE49C2" w:rsidRPr="00CE49C2" w:rsidTr="00CE49C2">
        <w:trPr>
          <w:tblCellSpacing w:w="0" w:type="dxa"/>
          <w:jc w:val="center"/>
        </w:trPr>
        <w:tc>
          <w:tcPr>
            <w:tcW w:w="5000" w:type="pct"/>
            <w:vAlign w:val="center"/>
            <w:hideMark/>
          </w:tcPr>
          <w:p w:rsidR="00CE49C2" w:rsidRPr="00CE49C2" w:rsidRDefault="00CE49C2" w:rsidP="00CE49C2">
            <w:pPr>
              <w:widowControl/>
              <w:jc w:val="both"/>
              <w:rPr>
                <w:rFonts w:ascii="標楷體" w:eastAsia="標楷體" w:hAnsi="標楷體" w:cs="新細明體"/>
                <w:kern w:val="0"/>
                <w:szCs w:val="24"/>
              </w:rPr>
            </w:pPr>
            <w:r w:rsidRPr="00CE49C2">
              <w:rPr>
                <w:rFonts w:ascii="標楷體" w:eastAsia="標楷體" w:hAnsi="標楷體" w:cs="新細明體"/>
                <w:kern w:val="0"/>
                <w:szCs w:val="24"/>
              </w:rPr>
              <w:t>公告事項：</w:t>
            </w:r>
          </w:p>
          <w:p w:rsidR="00CE49C2" w:rsidRPr="00CE49C2" w:rsidRDefault="00CE49C2" w:rsidP="00CE49C2">
            <w:pPr>
              <w:widowControl/>
              <w:ind w:left="48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一、自本年6月1日起上櫃有價證券普通交易漲跌幅度由7%放寬至10%，配套措施區分為適度調整漲跌幅連動項目、強化風險控管項目及維持市場穩定項目，分別說明如下：</w:t>
            </w:r>
          </w:p>
          <w:p w:rsidR="00CE49C2" w:rsidRPr="00CE49C2" w:rsidRDefault="00CE49C2" w:rsidP="001A1B7F">
            <w:pPr>
              <w:widowControl/>
              <w:ind w:leftChars="200" w:left="480"/>
              <w:jc w:val="both"/>
              <w:rPr>
                <w:rFonts w:ascii="標楷體" w:eastAsia="標楷體" w:hAnsi="標楷體" w:cs="新細明體"/>
                <w:kern w:val="0"/>
                <w:szCs w:val="24"/>
              </w:rPr>
            </w:pPr>
            <w:r w:rsidRPr="00CE49C2">
              <w:rPr>
                <w:rFonts w:ascii="標楷體" w:eastAsia="標楷體" w:hAnsi="標楷體" w:cs="新細明體"/>
                <w:kern w:val="0"/>
                <w:szCs w:val="24"/>
              </w:rPr>
              <w:t>(</w:t>
            </w:r>
            <w:proofErr w:type="gramStart"/>
            <w:r w:rsidRPr="00CE49C2">
              <w:rPr>
                <w:rFonts w:ascii="標楷體" w:eastAsia="標楷體" w:hAnsi="標楷體" w:cs="新細明體"/>
                <w:kern w:val="0"/>
                <w:szCs w:val="24"/>
              </w:rPr>
              <w:t>一</w:t>
            </w:r>
            <w:proofErr w:type="gramEnd"/>
            <w:r w:rsidRPr="00CE49C2">
              <w:rPr>
                <w:rFonts w:ascii="標楷體" w:eastAsia="標楷體" w:hAnsi="標楷體" w:cs="新細明體"/>
                <w:kern w:val="0"/>
                <w:szCs w:val="24"/>
              </w:rPr>
              <w:t>)適度調整漲跌幅連動項目：</w:t>
            </w:r>
          </w:p>
          <w:p w:rsidR="00CE49C2" w:rsidRPr="00CE49C2" w:rsidRDefault="00CE49C2" w:rsidP="001A1B7F">
            <w:pPr>
              <w:widowControl/>
              <w:ind w:leftChars="400" w:left="960"/>
              <w:jc w:val="both"/>
              <w:rPr>
                <w:rFonts w:ascii="標楷體" w:eastAsia="標楷體" w:hAnsi="標楷體" w:cs="新細明體"/>
                <w:kern w:val="0"/>
                <w:szCs w:val="24"/>
              </w:rPr>
            </w:pPr>
            <w:r w:rsidRPr="00CE49C2">
              <w:rPr>
                <w:rFonts w:ascii="標楷體" w:eastAsia="標楷體" w:hAnsi="標楷體" w:cs="新細明體"/>
                <w:kern w:val="0"/>
                <w:szCs w:val="24"/>
              </w:rPr>
              <w:t>１、所有商品漲跌幅同步調整。</w:t>
            </w:r>
          </w:p>
          <w:p w:rsidR="00CE49C2" w:rsidRPr="00CE49C2" w:rsidRDefault="00CE49C2" w:rsidP="001A1B7F">
            <w:pPr>
              <w:widowControl/>
              <w:ind w:leftChars="400" w:left="960"/>
              <w:jc w:val="both"/>
              <w:rPr>
                <w:rFonts w:ascii="標楷體" w:eastAsia="標楷體" w:hAnsi="標楷體" w:cs="新細明體"/>
                <w:kern w:val="0"/>
                <w:szCs w:val="24"/>
              </w:rPr>
            </w:pPr>
            <w:r w:rsidRPr="00CE49C2">
              <w:rPr>
                <w:rFonts w:ascii="標楷體" w:eastAsia="標楷體" w:hAnsi="標楷體" w:cs="新細明體"/>
                <w:kern w:val="0"/>
                <w:szCs w:val="24"/>
              </w:rPr>
              <w:t>２、零股交易、鉅額交易漲跌幅由7%調為10%。</w:t>
            </w:r>
          </w:p>
          <w:p w:rsidR="00CE49C2" w:rsidRPr="00CE49C2" w:rsidRDefault="00CE49C2" w:rsidP="001A1B7F">
            <w:pPr>
              <w:widowControl/>
              <w:ind w:leftChars="400" w:left="960"/>
              <w:jc w:val="both"/>
              <w:rPr>
                <w:rFonts w:ascii="標楷體" w:eastAsia="標楷體" w:hAnsi="標楷體" w:cs="新細明體"/>
                <w:kern w:val="0"/>
                <w:szCs w:val="24"/>
              </w:rPr>
            </w:pPr>
            <w:r w:rsidRPr="00CE49C2">
              <w:rPr>
                <w:rFonts w:ascii="標楷體" w:eastAsia="標楷體" w:hAnsi="標楷體" w:cs="新細明體"/>
                <w:kern w:val="0"/>
                <w:szCs w:val="24"/>
              </w:rPr>
              <w:t>３、證券金融事業標購價格上限由「7%至15%」調高為「10%至20%」。</w:t>
            </w:r>
          </w:p>
          <w:p w:rsidR="00CE49C2" w:rsidRPr="00CE49C2" w:rsidRDefault="00CE49C2" w:rsidP="001A1B7F">
            <w:pPr>
              <w:widowControl/>
              <w:ind w:leftChars="200" w:left="480"/>
              <w:jc w:val="both"/>
              <w:rPr>
                <w:rFonts w:ascii="標楷體" w:eastAsia="標楷體" w:hAnsi="標楷體" w:cs="新細明體"/>
                <w:kern w:val="0"/>
                <w:szCs w:val="24"/>
              </w:rPr>
            </w:pPr>
            <w:r w:rsidRPr="00CE49C2">
              <w:rPr>
                <w:rFonts w:ascii="標楷體" w:eastAsia="標楷體" w:hAnsi="標楷體" w:cs="新細明體"/>
                <w:kern w:val="0"/>
                <w:szCs w:val="24"/>
              </w:rPr>
              <w:t>(二)強化風險控管項目：</w:t>
            </w:r>
          </w:p>
          <w:p w:rsidR="00CE49C2" w:rsidRPr="00CE49C2" w:rsidRDefault="00CE49C2" w:rsidP="001A1B7F">
            <w:pPr>
              <w:widowControl/>
              <w:ind w:leftChars="400" w:left="960"/>
              <w:jc w:val="both"/>
              <w:rPr>
                <w:rFonts w:ascii="標楷體" w:eastAsia="標楷體" w:hAnsi="標楷體" w:cs="新細明體"/>
                <w:kern w:val="0"/>
                <w:szCs w:val="24"/>
              </w:rPr>
            </w:pPr>
            <w:r w:rsidRPr="00CE49C2">
              <w:rPr>
                <w:rFonts w:ascii="標楷體" w:eastAsia="標楷體" w:hAnsi="標楷體" w:cs="新細明體"/>
                <w:kern w:val="0"/>
                <w:szCs w:val="24"/>
              </w:rPr>
              <w:t>１、證券商交割借</w:t>
            </w:r>
            <w:proofErr w:type="gramStart"/>
            <w:r w:rsidRPr="00CE49C2">
              <w:rPr>
                <w:rFonts w:ascii="標楷體" w:eastAsia="標楷體" w:hAnsi="標楷體" w:cs="新細明體"/>
                <w:kern w:val="0"/>
                <w:szCs w:val="24"/>
              </w:rPr>
              <w:t>券</w:t>
            </w:r>
            <w:proofErr w:type="gramEnd"/>
            <w:r w:rsidRPr="00CE49C2">
              <w:rPr>
                <w:rFonts w:ascii="標楷體" w:eastAsia="標楷體" w:hAnsi="標楷體" w:cs="新細明體"/>
                <w:kern w:val="0"/>
                <w:szCs w:val="24"/>
              </w:rPr>
              <w:t>擔保金由114%調高為120%。</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２、信用交易整戶擔保維持率由120%提高至130%，為使投資人及早適應，自本年5月4日起實施。</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３、證券商及證券金融事業辦理有價證券借貸原始擔保比率及擔保維持率，一般投資人維持140%及120%，專業機構投資人客戶得與證券商另行議定，不受該等比率限制。</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４、「T+5型」有價證券借貸款項業務之擔保價值維持率，由「100%至125%」調整為「100%至130%」。</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５、「半年型」有價證券借貸款項業務之擔保價值維持率由120%提高至130%。</w:t>
            </w:r>
          </w:p>
          <w:p w:rsidR="00CE49C2" w:rsidRPr="00CE49C2" w:rsidRDefault="00CE49C2" w:rsidP="001A1B7F">
            <w:pPr>
              <w:widowControl/>
              <w:ind w:leftChars="200" w:left="480"/>
              <w:jc w:val="both"/>
              <w:rPr>
                <w:rFonts w:ascii="標楷體" w:eastAsia="標楷體" w:hAnsi="標楷體" w:cs="新細明體"/>
                <w:kern w:val="0"/>
                <w:szCs w:val="24"/>
              </w:rPr>
            </w:pPr>
            <w:r w:rsidRPr="00CE49C2">
              <w:rPr>
                <w:rFonts w:ascii="標楷體" w:eastAsia="標楷體" w:hAnsi="標楷體" w:cs="新細明體"/>
                <w:kern w:val="0"/>
                <w:szCs w:val="24"/>
              </w:rPr>
              <w:t>(三)維持市場穩定項目：</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１、瞬間價格穩定措施執行標準維持3.5%。</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２、暫緩收盤標準維持3.5%，另自本年6月29日起實施之開收盤前資訊揭露措施之暫緩開盤標準亦為3.5%。</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３、一般標購底價範圍維持為上下15%。</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lastRenderedPageBreak/>
              <w:t>４、證券金融事業標借擔保金為得標證券金額之120%維持不變。</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５、信用交易標借單價上限維持7%不變、</w:t>
            </w:r>
            <w:proofErr w:type="gramStart"/>
            <w:r w:rsidRPr="00CE49C2">
              <w:rPr>
                <w:rFonts w:ascii="標楷體" w:eastAsia="標楷體" w:hAnsi="標楷體" w:cs="新細明體"/>
                <w:kern w:val="0"/>
                <w:szCs w:val="24"/>
              </w:rPr>
              <w:t>議借單價</w:t>
            </w:r>
            <w:proofErr w:type="gramEnd"/>
            <w:r w:rsidRPr="00CE49C2">
              <w:rPr>
                <w:rFonts w:ascii="標楷體" w:eastAsia="標楷體" w:hAnsi="標楷體" w:cs="新細明體"/>
                <w:kern w:val="0"/>
                <w:szCs w:val="24"/>
              </w:rPr>
              <w:t>上限維持為10%不變。</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６、應付當日沖銷</w:t>
            </w:r>
            <w:proofErr w:type="gramStart"/>
            <w:r w:rsidRPr="00CE49C2">
              <w:rPr>
                <w:rFonts w:ascii="標楷體" w:eastAsia="標楷體" w:hAnsi="標楷體" w:cs="新細明體"/>
                <w:kern w:val="0"/>
                <w:szCs w:val="24"/>
              </w:rPr>
              <w:t>券</w:t>
            </w:r>
            <w:proofErr w:type="gramEnd"/>
            <w:r w:rsidRPr="00CE49C2">
              <w:rPr>
                <w:rFonts w:ascii="標楷體" w:eastAsia="標楷體" w:hAnsi="標楷體" w:cs="新細明體"/>
                <w:kern w:val="0"/>
                <w:szCs w:val="24"/>
              </w:rPr>
              <w:t>差借</w:t>
            </w:r>
            <w:proofErr w:type="gramStart"/>
            <w:r w:rsidRPr="00CE49C2">
              <w:rPr>
                <w:rFonts w:ascii="標楷體" w:eastAsia="標楷體" w:hAnsi="標楷體" w:cs="新細明體"/>
                <w:kern w:val="0"/>
                <w:szCs w:val="24"/>
              </w:rPr>
              <w:t>券</w:t>
            </w:r>
            <w:proofErr w:type="gramEnd"/>
            <w:r w:rsidRPr="00CE49C2">
              <w:rPr>
                <w:rFonts w:ascii="標楷體" w:eastAsia="標楷體" w:hAnsi="標楷體" w:cs="新細明體"/>
                <w:kern w:val="0"/>
                <w:szCs w:val="24"/>
              </w:rPr>
              <w:t>費率維持7%不變。</w:t>
            </w:r>
          </w:p>
          <w:p w:rsidR="00CE49C2" w:rsidRPr="00CE49C2" w:rsidRDefault="00CE49C2" w:rsidP="001A1B7F">
            <w:pPr>
              <w:widowControl/>
              <w:ind w:leftChars="400" w:left="144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７、證券商交割借</w:t>
            </w:r>
            <w:proofErr w:type="gramStart"/>
            <w:r w:rsidRPr="00CE49C2">
              <w:rPr>
                <w:rFonts w:ascii="標楷體" w:eastAsia="標楷體" w:hAnsi="標楷體" w:cs="新細明體"/>
                <w:kern w:val="0"/>
                <w:szCs w:val="24"/>
              </w:rPr>
              <w:t>券</w:t>
            </w:r>
            <w:proofErr w:type="gramEnd"/>
            <w:r w:rsidRPr="00CE49C2">
              <w:rPr>
                <w:rFonts w:ascii="標楷體" w:eastAsia="標楷體" w:hAnsi="標楷體" w:cs="新細明體"/>
                <w:kern w:val="0"/>
                <w:szCs w:val="24"/>
              </w:rPr>
              <w:t>擔保金最低維持率維持107%不變；出借費率自訂上限維持7%不變。</w:t>
            </w:r>
          </w:p>
          <w:p w:rsidR="00CE49C2" w:rsidRPr="00CE49C2" w:rsidRDefault="00CE49C2" w:rsidP="00CE49C2">
            <w:pPr>
              <w:widowControl/>
              <w:jc w:val="both"/>
              <w:rPr>
                <w:rFonts w:ascii="標楷體" w:eastAsia="標楷體" w:hAnsi="標楷體" w:cs="新細明體"/>
                <w:kern w:val="0"/>
                <w:szCs w:val="24"/>
              </w:rPr>
            </w:pPr>
            <w:r w:rsidRPr="00CE49C2">
              <w:rPr>
                <w:rFonts w:ascii="標楷體" w:eastAsia="標楷體" w:hAnsi="標楷體" w:cs="新細明體"/>
                <w:kern w:val="0"/>
                <w:szCs w:val="24"/>
              </w:rPr>
              <w:t>二、配合前述措施，修正本中心業務規則等6項規章部分條文如下（附件一）：</w:t>
            </w:r>
          </w:p>
          <w:p w:rsidR="00CE49C2" w:rsidRPr="00CE49C2" w:rsidRDefault="00CE49C2" w:rsidP="0098741F">
            <w:pPr>
              <w:widowControl/>
              <w:ind w:leftChars="200" w:left="480"/>
              <w:jc w:val="both"/>
              <w:rPr>
                <w:rFonts w:ascii="標楷體" w:eastAsia="標楷體" w:hAnsi="標楷體" w:cs="新細明體"/>
                <w:kern w:val="0"/>
                <w:szCs w:val="24"/>
              </w:rPr>
            </w:pPr>
            <w:r w:rsidRPr="00CE49C2">
              <w:rPr>
                <w:rFonts w:ascii="標楷體" w:eastAsia="標楷體" w:hAnsi="標楷體" w:cs="新細明體"/>
                <w:kern w:val="0"/>
                <w:szCs w:val="24"/>
              </w:rPr>
              <w:t>(</w:t>
            </w:r>
            <w:proofErr w:type="gramStart"/>
            <w:r w:rsidRPr="00CE49C2">
              <w:rPr>
                <w:rFonts w:ascii="標楷體" w:eastAsia="標楷體" w:hAnsi="標楷體" w:cs="新細明體"/>
                <w:kern w:val="0"/>
                <w:szCs w:val="24"/>
              </w:rPr>
              <w:t>一</w:t>
            </w:r>
            <w:proofErr w:type="gramEnd"/>
            <w:r w:rsidRPr="00CE49C2">
              <w:rPr>
                <w:rFonts w:ascii="標楷體" w:eastAsia="標楷體" w:hAnsi="標楷體" w:cs="新細明體"/>
                <w:kern w:val="0"/>
                <w:szCs w:val="24"/>
              </w:rPr>
              <w:t>)「證券商營業處所買賣有價證券業務規則」第55條。</w:t>
            </w:r>
          </w:p>
          <w:p w:rsidR="00CE49C2" w:rsidRPr="00CE49C2" w:rsidRDefault="00CE49C2" w:rsidP="0098741F">
            <w:pPr>
              <w:widowControl/>
              <w:ind w:leftChars="200" w:left="480"/>
              <w:jc w:val="both"/>
              <w:rPr>
                <w:rFonts w:ascii="標楷體" w:eastAsia="標楷體" w:hAnsi="標楷體" w:cs="新細明體"/>
                <w:kern w:val="0"/>
                <w:szCs w:val="24"/>
              </w:rPr>
            </w:pPr>
            <w:r w:rsidRPr="00CE49C2">
              <w:rPr>
                <w:rFonts w:ascii="標楷體" w:eastAsia="標楷體" w:hAnsi="標楷體" w:cs="新細明體"/>
                <w:kern w:val="0"/>
                <w:szCs w:val="24"/>
              </w:rPr>
              <w:t>(二)「轉換公司債、交換公司債暨債券換股權利證書買賣辦法」第8條。</w:t>
            </w:r>
          </w:p>
          <w:p w:rsidR="00CE49C2" w:rsidRPr="00CE49C2" w:rsidRDefault="00CE49C2" w:rsidP="0098741F">
            <w:pPr>
              <w:widowControl/>
              <w:ind w:leftChars="200" w:left="480"/>
              <w:jc w:val="both"/>
              <w:rPr>
                <w:rFonts w:ascii="標楷體" w:eastAsia="標楷體" w:hAnsi="標楷體" w:cs="新細明體"/>
                <w:kern w:val="0"/>
                <w:szCs w:val="24"/>
              </w:rPr>
            </w:pPr>
            <w:r w:rsidRPr="00CE49C2">
              <w:rPr>
                <w:rFonts w:ascii="標楷體" w:eastAsia="標楷體" w:hAnsi="標楷體" w:cs="新細明體"/>
                <w:kern w:val="0"/>
                <w:szCs w:val="24"/>
              </w:rPr>
              <w:t>(三)「認購（售）權證買賣辦法」第7條。</w:t>
            </w:r>
          </w:p>
          <w:p w:rsidR="00CE49C2" w:rsidRPr="00CE49C2" w:rsidRDefault="00CE49C2" w:rsidP="0098741F">
            <w:pPr>
              <w:widowControl/>
              <w:ind w:leftChars="200" w:left="480"/>
              <w:jc w:val="both"/>
              <w:rPr>
                <w:rFonts w:ascii="標楷體" w:eastAsia="標楷體" w:hAnsi="標楷體" w:cs="新細明體"/>
                <w:kern w:val="0"/>
                <w:szCs w:val="24"/>
              </w:rPr>
            </w:pPr>
            <w:r w:rsidRPr="00CE49C2">
              <w:rPr>
                <w:rFonts w:ascii="標楷體" w:eastAsia="標楷體" w:hAnsi="標楷體" w:cs="新細明體"/>
                <w:kern w:val="0"/>
                <w:szCs w:val="24"/>
              </w:rPr>
              <w:t>(四)「</w:t>
            </w:r>
            <w:proofErr w:type="gramStart"/>
            <w:r w:rsidRPr="00CE49C2">
              <w:rPr>
                <w:rFonts w:ascii="標楷體" w:eastAsia="標楷體" w:hAnsi="標楷體" w:cs="新細明體"/>
                <w:kern w:val="0"/>
                <w:szCs w:val="24"/>
              </w:rPr>
              <w:t>附認股權</w:t>
            </w:r>
            <w:proofErr w:type="gramEnd"/>
            <w:r w:rsidRPr="00CE49C2">
              <w:rPr>
                <w:rFonts w:ascii="標楷體" w:eastAsia="標楷體" w:hAnsi="標楷體" w:cs="新細明體"/>
                <w:kern w:val="0"/>
                <w:szCs w:val="24"/>
              </w:rPr>
              <w:t>有價證券買賣辦法」第8條。</w:t>
            </w:r>
          </w:p>
          <w:p w:rsidR="00CE49C2" w:rsidRPr="00CE49C2" w:rsidRDefault="00CE49C2" w:rsidP="0098741F">
            <w:pPr>
              <w:widowControl/>
              <w:ind w:leftChars="200" w:left="480"/>
              <w:jc w:val="both"/>
              <w:rPr>
                <w:rFonts w:ascii="標楷體" w:eastAsia="標楷體" w:hAnsi="標楷體" w:cs="新細明體"/>
                <w:kern w:val="0"/>
                <w:szCs w:val="24"/>
              </w:rPr>
            </w:pPr>
            <w:r w:rsidRPr="00CE49C2">
              <w:rPr>
                <w:rFonts w:ascii="標楷體" w:eastAsia="標楷體" w:hAnsi="標楷體" w:cs="新細明體"/>
                <w:kern w:val="0"/>
                <w:szCs w:val="24"/>
              </w:rPr>
              <w:t>(五)「有價證券借貸辦法」第3條。</w:t>
            </w:r>
          </w:p>
          <w:p w:rsidR="00CE49C2" w:rsidRPr="00CE49C2" w:rsidRDefault="00CE49C2" w:rsidP="0098741F">
            <w:pPr>
              <w:widowControl/>
              <w:ind w:leftChars="200" w:left="480"/>
              <w:jc w:val="both"/>
              <w:rPr>
                <w:rFonts w:ascii="標楷體" w:eastAsia="標楷體" w:hAnsi="標楷體" w:cs="新細明體"/>
                <w:kern w:val="0"/>
                <w:szCs w:val="24"/>
              </w:rPr>
            </w:pPr>
            <w:r w:rsidRPr="00CE49C2">
              <w:rPr>
                <w:rFonts w:ascii="標楷體" w:eastAsia="標楷體" w:hAnsi="標楷體" w:cs="新細明體"/>
                <w:kern w:val="0"/>
                <w:szCs w:val="24"/>
              </w:rPr>
              <w:t>(六)「辦理上櫃證券標購辦法」第14條。</w:t>
            </w:r>
          </w:p>
          <w:p w:rsidR="00CE49C2" w:rsidRPr="00CE49C2" w:rsidRDefault="00CE49C2" w:rsidP="00FB6BDC">
            <w:pPr>
              <w:widowControl/>
              <w:ind w:left="48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三、會同臺灣證券交</w:t>
            </w:r>
            <w:bookmarkStart w:id="0" w:name="_GoBack"/>
            <w:bookmarkEnd w:id="0"/>
            <w:r w:rsidRPr="00CE49C2">
              <w:rPr>
                <w:rFonts w:ascii="標楷體" w:eastAsia="標楷體" w:hAnsi="標楷體" w:cs="新細明體"/>
                <w:kern w:val="0"/>
                <w:szCs w:val="24"/>
              </w:rPr>
              <w:t>易所股份有限公司修正「證券商辦理有價證券買賣融資融券業務操作辦法」等3項規章部分條文如下（附件二）：</w:t>
            </w:r>
          </w:p>
          <w:p w:rsidR="00CE49C2" w:rsidRPr="00CE49C2" w:rsidRDefault="00CE49C2" w:rsidP="00FF6E07">
            <w:pPr>
              <w:widowControl/>
              <w:ind w:leftChars="200" w:left="96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w:t>
            </w:r>
            <w:proofErr w:type="gramStart"/>
            <w:r w:rsidRPr="00CE49C2">
              <w:rPr>
                <w:rFonts w:ascii="標楷體" w:eastAsia="標楷體" w:hAnsi="標楷體" w:cs="新細明體"/>
                <w:kern w:val="0"/>
                <w:szCs w:val="24"/>
              </w:rPr>
              <w:t>一</w:t>
            </w:r>
            <w:proofErr w:type="gramEnd"/>
            <w:r w:rsidRPr="00CE49C2">
              <w:rPr>
                <w:rFonts w:ascii="標楷體" w:eastAsia="標楷體" w:hAnsi="標楷體" w:cs="新細明體"/>
                <w:kern w:val="0"/>
                <w:szCs w:val="24"/>
              </w:rPr>
              <w:t>)「證券商辦理有價證券買賣融資融券業務操作辦法」第23條、第24條、第25條及第31條。</w:t>
            </w:r>
          </w:p>
          <w:p w:rsidR="00CE49C2" w:rsidRPr="00CE49C2" w:rsidRDefault="00CE49C2" w:rsidP="00FF6E07">
            <w:pPr>
              <w:widowControl/>
              <w:ind w:leftChars="200" w:left="96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(二)「證券商辦理有價證券借貸操作辦法」15條及第25條。</w:t>
            </w:r>
          </w:p>
          <w:p w:rsidR="00CE49C2" w:rsidRPr="00CE49C2" w:rsidRDefault="00CE49C2" w:rsidP="00FF6E07">
            <w:pPr>
              <w:widowControl/>
              <w:ind w:leftChars="200" w:left="960" w:hangingChars="200" w:hanging="480"/>
              <w:jc w:val="both"/>
              <w:rPr>
                <w:rFonts w:ascii="標楷體" w:eastAsia="標楷體" w:hAnsi="標楷體" w:cs="新細明體"/>
                <w:kern w:val="0"/>
                <w:szCs w:val="24"/>
              </w:rPr>
            </w:pPr>
            <w:r w:rsidRPr="00CE49C2">
              <w:rPr>
                <w:rFonts w:ascii="標楷體" w:eastAsia="標楷體" w:hAnsi="標楷體" w:cs="新細明體"/>
                <w:kern w:val="0"/>
                <w:szCs w:val="24"/>
              </w:rPr>
              <w:t>(三)「證券商辦理有價證券款項借貸操作辦法」第13條及第23條</w:t>
            </w:r>
          </w:p>
        </w:tc>
      </w:tr>
    </w:tbl>
    <w:p w:rsidR="00CE49C2" w:rsidRPr="00CE49C2" w:rsidRDefault="00CE49C2" w:rsidP="00CE49C2">
      <w:pPr>
        <w:widowControl/>
        <w:jc w:val="both"/>
        <w:rPr>
          <w:rFonts w:ascii="新細明體" w:eastAsia="新細明體" w:hAnsi="新細明體" w:cs="新細明體"/>
          <w:kern w:val="0"/>
          <w:szCs w:val="24"/>
        </w:rPr>
      </w:pP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CE49C2" w:rsidRPr="00CE49C2" w:rsidTr="00CE49C2">
        <w:trPr>
          <w:tblCellSpacing w:w="0" w:type="dxa"/>
          <w:jc w:val="center"/>
        </w:trPr>
        <w:tc>
          <w:tcPr>
            <w:tcW w:w="0" w:type="auto"/>
            <w:vAlign w:val="center"/>
            <w:hideMark/>
          </w:tcPr>
          <w:p w:rsidR="00CE49C2" w:rsidRPr="00CE49C2" w:rsidRDefault="00CE49C2" w:rsidP="00CE49C2">
            <w:pPr>
              <w:widowControl/>
              <w:spacing w:before="100" w:beforeAutospacing="1" w:after="100" w:afterAutospacing="1"/>
              <w:jc w:val="both"/>
              <w:rPr>
                <w:rFonts w:ascii="新細明體" w:eastAsia="新細明體" w:hAnsi="新細明體" w:cs="新細明體"/>
                <w:kern w:val="0"/>
                <w:szCs w:val="24"/>
              </w:rPr>
            </w:pPr>
            <w:r w:rsidRPr="00CE49C2">
              <w:rPr>
                <w:rFonts w:ascii="標楷體" w:eastAsia="標楷體" w:hAnsi="標楷體" w:cs="新細明體"/>
                <w:kern w:val="0"/>
                <w:szCs w:val="24"/>
              </w:rPr>
              <w:t>正本：貼於本中心網站櫃買市場公告</w:t>
            </w:r>
          </w:p>
        </w:tc>
      </w:tr>
      <w:tr w:rsidR="00CE49C2" w:rsidRPr="00CE49C2" w:rsidTr="00CE49C2">
        <w:trPr>
          <w:tblCellSpacing w:w="0" w:type="dxa"/>
          <w:jc w:val="center"/>
        </w:trPr>
        <w:tc>
          <w:tcPr>
            <w:tcW w:w="0" w:type="auto"/>
            <w:vAlign w:val="center"/>
            <w:hideMark/>
          </w:tcPr>
          <w:p w:rsidR="00CE49C2" w:rsidRPr="00CE49C2" w:rsidRDefault="00CE49C2" w:rsidP="00CE49C2">
            <w:pPr>
              <w:widowControl/>
              <w:spacing w:before="100" w:beforeAutospacing="1" w:after="100" w:afterAutospacing="1"/>
              <w:jc w:val="both"/>
              <w:rPr>
                <w:rFonts w:ascii="新細明體" w:eastAsia="新細明體" w:hAnsi="新細明體" w:cs="新細明體"/>
                <w:kern w:val="0"/>
                <w:szCs w:val="24"/>
              </w:rPr>
            </w:pPr>
            <w:r w:rsidRPr="00CE49C2">
              <w:rPr>
                <w:rFonts w:ascii="標楷體" w:eastAsia="標楷體" w:hAnsi="標楷體" w:cs="新細明體"/>
                <w:kern w:val="0"/>
                <w:szCs w:val="24"/>
              </w:rPr>
              <w:t>副本：</w:t>
            </w:r>
          </w:p>
        </w:tc>
      </w:tr>
    </w:tbl>
    <w:p w:rsidR="00CE49C2" w:rsidRPr="00CE49C2" w:rsidRDefault="00CE49C2" w:rsidP="00CE49C2">
      <w:pPr>
        <w:widowControl/>
        <w:jc w:val="both"/>
        <w:rPr>
          <w:rFonts w:ascii="新細明體" w:eastAsia="新細明體" w:hAnsi="新細明體" w:cs="新細明體"/>
          <w:vanish/>
          <w:kern w:val="0"/>
          <w:szCs w:val="24"/>
        </w:rPr>
      </w:pP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CE49C2" w:rsidRPr="00CE49C2" w:rsidTr="00CE49C2">
        <w:trPr>
          <w:tblCellSpacing w:w="0" w:type="dxa"/>
          <w:jc w:val="center"/>
          <w:hidden/>
        </w:trPr>
        <w:tc>
          <w:tcPr>
            <w:tcW w:w="5000" w:type="pct"/>
            <w:vAlign w:val="center"/>
            <w:hideMark/>
          </w:tcPr>
          <w:p w:rsidR="00CE49C2" w:rsidRPr="00CE49C2" w:rsidRDefault="00CE49C2" w:rsidP="00CE49C2">
            <w:pPr>
              <w:widowControl/>
              <w:jc w:val="both"/>
              <w:rPr>
                <w:rFonts w:ascii="新細明體" w:eastAsia="新細明體" w:hAnsi="新細明體" w:cs="新細明體"/>
                <w:vanish/>
                <w:kern w:val="0"/>
                <w:szCs w:val="24"/>
              </w:rPr>
            </w:pPr>
            <w:r w:rsidRPr="00CE49C2">
              <w:rPr>
                <w:rFonts w:ascii="標楷體" w:eastAsia="標楷體" w:hAnsi="標楷體" w:cs="新細明體"/>
                <w:vanish/>
                <w:kern w:val="0"/>
                <w:szCs w:val="24"/>
              </w:rPr>
              <w:t>?@</w:t>
            </w:r>
            <w:r w:rsidRPr="00CE49C2">
              <w:rPr>
                <w:rFonts w:ascii="新細明體" w:eastAsia="新細明體" w:hAnsi="新細明體" w:cs="新細明體"/>
                <w:vanish/>
                <w:kern w:val="0"/>
                <w:szCs w:val="24"/>
              </w:rPr>
              <w:t xml:space="preserve"> </w:t>
            </w:r>
          </w:p>
        </w:tc>
      </w:tr>
    </w:tbl>
    <w:p w:rsidR="00813AA7" w:rsidRDefault="00FB6BDC"/>
    <w:sectPr w:rsidR="00813AA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9C2"/>
    <w:rsid w:val="001A1B7F"/>
    <w:rsid w:val="0098741F"/>
    <w:rsid w:val="00C26138"/>
    <w:rsid w:val="00CE49C2"/>
    <w:rsid w:val="00ED26B1"/>
    <w:rsid w:val="00FB6BDC"/>
    <w:rsid w:val="00FF6E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E49C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E49C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08326">
      <w:bodyDiv w:val="1"/>
      <w:marLeft w:val="0"/>
      <w:marRight w:val="0"/>
      <w:marTop w:val="0"/>
      <w:marBottom w:val="0"/>
      <w:divBdr>
        <w:top w:val="none" w:sz="0" w:space="0" w:color="auto"/>
        <w:left w:val="none" w:sz="0" w:space="0" w:color="auto"/>
        <w:bottom w:val="none" w:sz="0" w:space="0" w:color="auto"/>
        <w:right w:val="none" w:sz="0" w:space="0" w:color="auto"/>
      </w:divBdr>
      <w:divsChild>
        <w:div w:id="935669700">
          <w:marLeft w:val="0"/>
          <w:marRight w:val="0"/>
          <w:marTop w:val="0"/>
          <w:marBottom w:val="0"/>
          <w:divBdr>
            <w:top w:val="none" w:sz="0" w:space="0" w:color="auto"/>
            <w:left w:val="none" w:sz="0" w:space="0" w:color="auto"/>
            <w:bottom w:val="none" w:sz="0" w:space="0" w:color="auto"/>
            <w:right w:val="none" w:sz="0" w:space="0" w:color="auto"/>
          </w:divBdr>
        </w:div>
        <w:div w:id="1080756517">
          <w:marLeft w:val="0"/>
          <w:marRight w:val="0"/>
          <w:marTop w:val="0"/>
          <w:marBottom w:val="0"/>
          <w:divBdr>
            <w:top w:val="none" w:sz="0" w:space="0" w:color="auto"/>
            <w:left w:val="none" w:sz="0" w:space="0" w:color="auto"/>
            <w:bottom w:val="none" w:sz="0" w:space="0" w:color="auto"/>
            <w:right w:val="none" w:sz="0" w:space="0" w:color="auto"/>
          </w:divBdr>
          <w:divsChild>
            <w:div w:id="782923162">
              <w:marLeft w:val="0"/>
              <w:marRight w:val="0"/>
              <w:marTop w:val="0"/>
              <w:marBottom w:val="0"/>
              <w:divBdr>
                <w:top w:val="none" w:sz="0" w:space="0" w:color="auto"/>
                <w:left w:val="none" w:sz="0" w:space="0" w:color="auto"/>
                <w:bottom w:val="none" w:sz="0" w:space="0" w:color="auto"/>
                <w:right w:val="none" w:sz="0" w:space="0" w:color="auto"/>
              </w:divBdr>
            </w:div>
          </w:divsChild>
        </w:div>
        <w:div w:id="962811491">
          <w:marLeft w:val="0"/>
          <w:marRight w:val="0"/>
          <w:marTop w:val="0"/>
          <w:marBottom w:val="0"/>
          <w:divBdr>
            <w:top w:val="none" w:sz="0" w:space="0" w:color="auto"/>
            <w:left w:val="none" w:sz="0" w:space="0" w:color="auto"/>
            <w:bottom w:val="none" w:sz="0" w:space="0" w:color="auto"/>
            <w:right w:val="none" w:sz="0" w:space="0" w:color="auto"/>
          </w:divBdr>
          <w:divsChild>
            <w:div w:id="326128832">
              <w:marLeft w:val="0"/>
              <w:marRight w:val="0"/>
              <w:marTop w:val="0"/>
              <w:marBottom w:val="0"/>
              <w:divBdr>
                <w:top w:val="none" w:sz="0" w:space="0" w:color="auto"/>
                <w:left w:val="none" w:sz="0" w:space="0" w:color="auto"/>
                <w:bottom w:val="none" w:sz="0" w:space="0" w:color="auto"/>
                <w:right w:val="none" w:sz="0" w:space="0" w:color="auto"/>
              </w:divBdr>
            </w:div>
            <w:div w:id="1639263628">
              <w:marLeft w:val="0"/>
              <w:marRight w:val="0"/>
              <w:marTop w:val="0"/>
              <w:marBottom w:val="0"/>
              <w:divBdr>
                <w:top w:val="none" w:sz="0" w:space="0" w:color="auto"/>
                <w:left w:val="none" w:sz="0" w:space="0" w:color="auto"/>
                <w:bottom w:val="none" w:sz="0" w:space="0" w:color="auto"/>
                <w:right w:val="none" w:sz="0" w:space="0" w:color="auto"/>
              </w:divBdr>
            </w:div>
            <w:div w:id="1656909685">
              <w:marLeft w:val="0"/>
              <w:marRight w:val="0"/>
              <w:marTop w:val="0"/>
              <w:marBottom w:val="0"/>
              <w:divBdr>
                <w:top w:val="none" w:sz="0" w:space="0" w:color="auto"/>
                <w:left w:val="none" w:sz="0" w:space="0" w:color="auto"/>
                <w:bottom w:val="none" w:sz="0" w:space="0" w:color="auto"/>
                <w:right w:val="none" w:sz="0" w:space="0" w:color="auto"/>
              </w:divBdr>
            </w:div>
            <w:div w:id="252008437">
              <w:marLeft w:val="0"/>
              <w:marRight w:val="0"/>
              <w:marTop w:val="0"/>
              <w:marBottom w:val="0"/>
              <w:divBdr>
                <w:top w:val="none" w:sz="0" w:space="0" w:color="auto"/>
                <w:left w:val="none" w:sz="0" w:space="0" w:color="auto"/>
                <w:bottom w:val="none" w:sz="0" w:space="0" w:color="auto"/>
                <w:right w:val="none" w:sz="0" w:space="0" w:color="auto"/>
              </w:divBdr>
            </w:div>
            <w:div w:id="1990787964">
              <w:marLeft w:val="0"/>
              <w:marRight w:val="0"/>
              <w:marTop w:val="0"/>
              <w:marBottom w:val="0"/>
              <w:divBdr>
                <w:top w:val="none" w:sz="0" w:space="0" w:color="auto"/>
                <w:left w:val="none" w:sz="0" w:space="0" w:color="auto"/>
                <w:bottom w:val="none" w:sz="0" w:space="0" w:color="auto"/>
                <w:right w:val="none" w:sz="0" w:space="0" w:color="auto"/>
              </w:divBdr>
            </w:div>
            <w:div w:id="574441744">
              <w:marLeft w:val="0"/>
              <w:marRight w:val="0"/>
              <w:marTop w:val="0"/>
              <w:marBottom w:val="0"/>
              <w:divBdr>
                <w:top w:val="none" w:sz="0" w:space="0" w:color="auto"/>
                <w:left w:val="none" w:sz="0" w:space="0" w:color="auto"/>
                <w:bottom w:val="none" w:sz="0" w:space="0" w:color="auto"/>
                <w:right w:val="none" w:sz="0" w:space="0" w:color="auto"/>
              </w:divBdr>
            </w:div>
            <w:div w:id="2053915890">
              <w:marLeft w:val="0"/>
              <w:marRight w:val="0"/>
              <w:marTop w:val="0"/>
              <w:marBottom w:val="0"/>
              <w:divBdr>
                <w:top w:val="none" w:sz="0" w:space="0" w:color="auto"/>
                <w:left w:val="none" w:sz="0" w:space="0" w:color="auto"/>
                <w:bottom w:val="none" w:sz="0" w:space="0" w:color="auto"/>
                <w:right w:val="none" w:sz="0" w:space="0" w:color="auto"/>
              </w:divBdr>
            </w:div>
            <w:div w:id="140463153">
              <w:marLeft w:val="0"/>
              <w:marRight w:val="0"/>
              <w:marTop w:val="0"/>
              <w:marBottom w:val="0"/>
              <w:divBdr>
                <w:top w:val="none" w:sz="0" w:space="0" w:color="auto"/>
                <w:left w:val="none" w:sz="0" w:space="0" w:color="auto"/>
                <w:bottom w:val="none" w:sz="0" w:space="0" w:color="auto"/>
                <w:right w:val="none" w:sz="0" w:space="0" w:color="auto"/>
              </w:divBdr>
            </w:div>
            <w:div w:id="373970608">
              <w:marLeft w:val="0"/>
              <w:marRight w:val="0"/>
              <w:marTop w:val="0"/>
              <w:marBottom w:val="0"/>
              <w:divBdr>
                <w:top w:val="none" w:sz="0" w:space="0" w:color="auto"/>
                <w:left w:val="none" w:sz="0" w:space="0" w:color="auto"/>
                <w:bottom w:val="none" w:sz="0" w:space="0" w:color="auto"/>
                <w:right w:val="none" w:sz="0" w:space="0" w:color="auto"/>
              </w:divBdr>
            </w:div>
            <w:div w:id="1325619706">
              <w:marLeft w:val="0"/>
              <w:marRight w:val="0"/>
              <w:marTop w:val="0"/>
              <w:marBottom w:val="0"/>
              <w:divBdr>
                <w:top w:val="none" w:sz="0" w:space="0" w:color="auto"/>
                <w:left w:val="none" w:sz="0" w:space="0" w:color="auto"/>
                <w:bottom w:val="none" w:sz="0" w:space="0" w:color="auto"/>
                <w:right w:val="none" w:sz="0" w:space="0" w:color="auto"/>
              </w:divBdr>
            </w:div>
            <w:div w:id="1779830287">
              <w:marLeft w:val="0"/>
              <w:marRight w:val="0"/>
              <w:marTop w:val="0"/>
              <w:marBottom w:val="0"/>
              <w:divBdr>
                <w:top w:val="none" w:sz="0" w:space="0" w:color="auto"/>
                <w:left w:val="none" w:sz="0" w:space="0" w:color="auto"/>
                <w:bottom w:val="none" w:sz="0" w:space="0" w:color="auto"/>
                <w:right w:val="none" w:sz="0" w:space="0" w:color="auto"/>
              </w:divBdr>
            </w:div>
            <w:div w:id="1857380907">
              <w:marLeft w:val="0"/>
              <w:marRight w:val="0"/>
              <w:marTop w:val="0"/>
              <w:marBottom w:val="0"/>
              <w:divBdr>
                <w:top w:val="none" w:sz="0" w:space="0" w:color="auto"/>
                <w:left w:val="none" w:sz="0" w:space="0" w:color="auto"/>
                <w:bottom w:val="none" w:sz="0" w:space="0" w:color="auto"/>
                <w:right w:val="none" w:sz="0" w:space="0" w:color="auto"/>
              </w:divBdr>
            </w:div>
            <w:div w:id="567611148">
              <w:marLeft w:val="0"/>
              <w:marRight w:val="0"/>
              <w:marTop w:val="0"/>
              <w:marBottom w:val="0"/>
              <w:divBdr>
                <w:top w:val="none" w:sz="0" w:space="0" w:color="auto"/>
                <w:left w:val="none" w:sz="0" w:space="0" w:color="auto"/>
                <w:bottom w:val="none" w:sz="0" w:space="0" w:color="auto"/>
                <w:right w:val="none" w:sz="0" w:space="0" w:color="auto"/>
              </w:divBdr>
            </w:div>
            <w:div w:id="1258364904">
              <w:marLeft w:val="0"/>
              <w:marRight w:val="0"/>
              <w:marTop w:val="0"/>
              <w:marBottom w:val="0"/>
              <w:divBdr>
                <w:top w:val="none" w:sz="0" w:space="0" w:color="auto"/>
                <w:left w:val="none" w:sz="0" w:space="0" w:color="auto"/>
                <w:bottom w:val="none" w:sz="0" w:space="0" w:color="auto"/>
                <w:right w:val="none" w:sz="0" w:space="0" w:color="auto"/>
              </w:divBdr>
            </w:div>
            <w:div w:id="107237316">
              <w:marLeft w:val="0"/>
              <w:marRight w:val="0"/>
              <w:marTop w:val="0"/>
              <w:marBottom w:val="0"/>
              <w:divBdr>
                <w:top w:val="none" w:sz="0" w:space="0" w:color="auto"/>
                <w:left w:val="none" w:sz="0" w:space="0" w:color="auto"/>
                <w:bottom w:val="none" w:sz="0" w:space="0" w:color="auto"/>
                <w:right w:val="none" w:sz="0" w:space="0" w:color="auto"/>
              </w:divBdr>
            </w:div>
            <w:div w:id="559753342">
              <w:marLeft w:val="0"/>
              <w:marRight w:val="0"/>
              <w:marTop w:val="0"/>
              <w:marBottom w:val="0"/>
              <w:divBdr>
                <w:top w:val="none" w:sz="0" w:space="0" w:color="auto"/>
                <w:left w:val="none" w:sz="0" w:space="0" w:color="auto"/>
                <w:bottom w:val="none" w:sz="0" w:space="0" w:color="auto"/>
                <w:right w:val="none" w:sz="0" w:space="0" w:color="auto"/>
              </w:divBdr>
            </w:div>
            <w:div w:id="1792939239">
              <w:marLeft w:val="0"/>
              <w:marRight w:val="0"/>
              <w:marTop w:val="0"/>
              <w:marBottom w:val="0"/>
              <w:divBdr>
                <w:top w:val="none" w:sz="0" w:space="0" w:color="auto"/>
                <w:left w:val="none" w:sz="0" w:space="0" w:color="auto"/>
                <w:bottom w:val="none" w:sz="0" w:space="0" w:color="auto"/>
                <w:right w:val="none" w:sz="0" w:space="0" w:color="auto"/>
              </w:divBdr>
            </w:div>
            <w:div w:id="1805736614">
              <w:marLeft w:val="0"/>
              <w:marRight w:val="0"/>
              <w:marTop w:val="0"/>
              <w:marBottom w:val="0"/>
              <w:divBdr>
                <w:top w:val="none" w:sz="0" w:space="0" w:color="auto"/>
                <w:left w:val="none" w:sz="0" w:space="0" w:color="auto"/>
                <w:bottom w:val="none" w:sz="0" w:space="0" w:color="auto"/>
                <w:right w:val="none" w:sz="0" w:space="0" w:color="auto"/>
              </w:divBdr>
            </w:div>
            <w:div w:id="871454920">
              <w:marLeft w:val="0"/>
              <w:marRight w:val="0"/>
              <w:marTop w:val="0"/>
              <w:marBottom w:val="0"/>
              <w:divBdr>
                <w:top w:val="none" w:sz="0" w:space="0" w:color="auto"/>
                <w:left w:val="none" w:sz="0" w:space="0" w:color="auto"/>
                <w:bottom w:val="none" w:sz="0" w:space="0" w:color="auto"/>
                <w:right w:val="none" w:sz="0" w:space="0" w:color="auto"/>
              </w:divBdr>
            </w:div>
            <w:div w:id="165412979">
              <w:marLeft w:val="0"/>
              <w:marRight w:val="0"/>
              <w:marTop w:val="0"/>
              <w:marBottom w:val="0"/>
              <w:divBdr>
                <w:top w:val="none" w:sz="0" w:space="0" w:color="auto"/>
                <w:left w:val="none" w:sz="0" w:space="0" w:color="auto"/>
                <w:bottom w:val="none" w:sz="0" w:space="0" w:color="auto"/>
                <w:right w:val="none" w:sz="0" w:space="0" w:color="auto"/>
              </w:divBdr>
            </w:div>
            <w:div w:id="1094783059">
              <w:marLeft w:val="0"/>
              <w:marRight w:val="0"/>
              <w:marTop w:val="0"/>
              <w:marBottom w:val="0"/>
              <w:divBdr>
                <w:top w:val="none" w:sz="0" w:space="0" w:color="auto"/>
                <w:left w:val="none" w:sz="0" w:space="0" w:color="auto"/>
                <w:bottom w:val="none" w:sz="0" w:space="0" w:color="auto"/>
                <w:right w:val="none" w:sz="0" w:space="0" w:color="auto"/>
              </w:divBdr>
            </w:div>
            <w:div w:id="1585143404">
              <w:marLeft w:val="0"/>
              <w:marRight w:val="0"/>
              <w:marTop w:val="0"/>
              <w:marBottom w:val="0"/>
              <w:divBdr>
                <w:top w:val="none" w:sz="0" w:space="0" w:color="auto"/>
                <w:left w:val="none" w:sz="0" w:space="0" w:color="auto"/>
                <w:bottom w:val="none" w:sz="0" w:space="0" w:color="auto"/>
                <w:right w:val="none" w:sz="0" w:space="0" w:color="auto"/>
              </w:divBdr>
            </w:div>
            <w:div w:id="1901358428">
              <w:marLeft w:val="0"/>
              <w:marRight w:val="0"/>
              <w:marTop w:val="0"/>
              <w:marBottom w:val="0"/>
              <w:divBdr>
                <w:top w:val="none" w:sz="0" w:space="0" w:color="auto"/>
                <w:left w:val="none" w:sz="0" w:space="0" w:color="auto"/>
                <w:bottom w:val="none" w:sz="0" w:space="0" w:color="auto"/>
                <w:right w:val="none" w:sz="0" w:space="0" w:color="auto"/>
              </w:divBdr>
            </w:div>
            <w:div w:id="2131970682">
              <w:marLeft w:val="0"/>
              <w:marRight w:val="0"/>
              <w:marTop w:val="0"/>
              <w:marBottom w:val="0"/>
              <w:divBdr>
                <w:top w:val="none" w:sz="0" w:space="0" w:color="auto"/>
                <w:left w:val="none" w:sz="0" w:space="0" w:color="auto"/>
                <w:bottom w:val="none" w:sz="0" w:space="0" w:color="auto"/>
                <w:right w:val="none" w:sz="0" w:space="0" w:color="auto"/>
              </w:divBdr>
            </w:div>
            <w:div w:id="930237570">
              <w:marLeft w:val="0"/>
              <w:marRight w:val="0"/>
              <w:marTop w:val="0"/>
              <w:marBottom w:val="0"/>
              <w:divBdr>
                <w:top w:val="none" w:sz="0" w:space="0" w:color="auto"/>
                <w:left w:val="none" w:sz="0" w:space="0" w:color="auto"/>
                <w:bottom w:val="none" w:sz="0" w:space="0" w:color="auto"/>
                <w:right w:val="none" w:sz="0" w:space="0" w:color="auto"/>
              </w:divBdr>
            </w:div>
            <w:div w:id="1036269428">
              <w:marLeft w:val="0"/>
              <w:marRight w:val="0"/>
              <w:marTop w:val="0"/>
              <w:marBottom w:val="0"/>
              <w:divBdr>
                <w:top w:val="none" w:sz="0" w:space="0" w:color="auto"/>
                <w:left w:val="none" w:sz="0" w:space="0" w:color="auto"/>
                <w:bottom w:val="none" w:sz="0" w:space="0" w:color="auto"/>
                <w:right w:val="none" w:sz="0" w:space="0" w:color="auto"/>
              </w:divBdr>
            </w:div>
            <w:div w:id="63259868">
              <w:marLeft w:val="0"/>
              <w:marRight w:val="0"/>
              <w:marTop w:val="0"/>
              <w:marBottom w:val="0"/>
              <w:divBdr>
                <w:top w:val="none" w:sz="0" w:space="0" w:color="auto"/>
                <w:left w:val="none" w:sz="0" w:space="0" w:color="auto"/>
                <w:bottom w:val="none" w:sz="0" w:space="0" w:color="auto"/>
                <w:right w:val="none" w:sz="0" w:space="0" w:color="auto"/>
              </w:divBdr>
            </w:div>
            <w:div w:id="976378062">
              <w:marLeft w:val="0"/>
              <w:marRight w:val="0"/>
              <w:marTop w:val="0"/>
              <w:marBottom w:val="0"/>
              <w:divBdr>
                <w:top w:val="none" w:sz="0" w:space="0" w:color="auto"/>
                <w:left w:val="none" w:sz="0" w:space="0" w:color="auto"/>
                <w:bottom w:val="none" w:sz="0" w:space="0" w:color="auto"/>
                <w:right w:val="none" w:sz="0" w:space="0" w:color="auto"/>
              </w:divBdr>
            </w:div>
            <w:div w:id="112288004">
              <w:marLeft w:val="0"/>
              <w:marRight w:val="0"/>
              <w:marTop w:val="0"/>
              <w:marBottom w:val="0"/>
              <w:divBdr>
                <w:top w:val="none" w:sz="0" w:space="0" w:color="auto"/>
                <w:left w:val="none" w:sz="0" w:space="0" w:color="auto"/>
                <w:bottom w:val="none" w:sz="0" w:space="0" w:color="auto"/>
                <w:right w:val="none" w:sz="0" w:space="0" w:color="auto"/>
              </w:divBdr>
            </w:div>
            <w:div w:id="2011784962">
              <w:marLeft w:val="0"/>
              <w:marRight w:val="0"/>
              <w:marTop w:val="0"/>
              <w:marBottom w:val="0"/>
              <w:divBdr>
                <w:top w:val="none" w:sz="0" w:space="0" w:color="auto"/>
                <w:left w:val="none" w:sz="0" w:space="0" w:color="auto"/>
                <w:bottom w:val="none" w:sz="0" w:space="0" w:color="auto"/>
                <w:right w:val="none" w:sz="0" w:space="0" w:color="auto"/>
              </w:divBdr>
            </w:div>
            <w:div w:id="13931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張翠蘭</dc:creator>
  <cp:lastModifiedBy>張翠蘭</cp:lastModifiedBy>
  <cp:revision>5</cp:revision>
  <dcterms:created xsi:type="dcterms:W3CDTF">2015-04-10T09:04:00Z</dcterms:created>
  <dcterms:modified xsi:type="dcterms:W3CDTF">2015-04-10T09:07:00Z</dcterms:modified>
</cp:coreProperties>
</file>