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2473" w:rsidRPr="00C32AD9" w:rsidRDefault="00692473" w:rsidP="00692473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32AD9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22A11" wp14:editId="4D848E2A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11430" t="5080" r="762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473" w:rsidRPr="000275AC" w:rsidRDefault="00692473" w:rsidP="006924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7.2pt;margin-top:34.8pt;width:33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lGPgIAAFUEAAAOAAAAZHJzL2Uyb0RvYy54bWysVF1u2zAMfh+wOwh6X5146doYdYquXYYB&#10;3Q/Qbe+MLMfCZFGTlNg5wYAdoHveAXaAHag9xyg5TbO/l2F+kEmT+kh+JH1y2rearaXzCk3Jxwcj&#10;zqQRWCmzLPm7t/NHx5z5AKYCjUaWfCM9P509fHDS2ULm2KCupGMEYnzR2ZI3Idgiy7xoZAv+AK00&#10;ZKzRtRBIdcusctARequzfDR6knXoKutQSO/p68Vg5LOEX9dShNd17WVguuSUW0inS+cintnsBIql&#10;A9sosU0D/iGLFpShoDuoCwjAVk79BtUq4dBjHQ4EthnWtRIy1UDVjEe/VHPVgJWpFiLH2x1N/v/B&#10;ilfrN46pquQ5ZwZaatHt9aebb19ur7/ffP3M8shQZ31BjleWXEP/FHvqdKrW20sUHzwzeN6AWcoz&#10;57BrJFSU4TjezPauDjg+giy6l1hRKFgFTEB97dpIHxHCCJ06tdl1R/aBCfo4GU/HI7IIMh3lj6ck&#10;xwhQ3F22zofnElsWhZI7an4Ch/WlD4PrnUuM5VGraq60TopbLs61Y2ugQZmnZ4v+k5s2rCv59DA/&#10;HOr/K8QoPX+CaFWgideqLfnxzgmKyNozU1GaUARQepCpOm22NEbmBg5Dv+jJMXK7wGpDhDocJps2&#10;kQQJ7+nNWUdzXXL/cQVOcqZfGGrLdDyZxEVIyuTwKCfF7VsW+xYwokFaFwIbxPMwLM/KOrVsKNYw&#10;CAbPqJW1SjTf57XNnGY3NWq7Z3E59vXkdf83mP0AAAD//wMAUEsDBBQABgAIAAAAIQBzKWyr4AAA&#10;AAwBAAAPAAAAZHJzL2Rvd25yZXYueG1sTI/BbsIwEETvlfoP1lbqpSo2BZmQxkFVBceiAu3dxCaJ&#10;Gq+j2AT377ucym1ndzT7plgl17HRDqH1qGA6EcAsVt60WCv4OmyeM2AhajS682gV/NoAq/L+rtC5&#10;8Rfc2XEfa0YhGHKtoImxzzkPVWOdDhPfW6TbyQ9OR5JDzc2gLxTuOv4ihOROt0gfGt3b98ZWP/uz&#10;U5Dk4eljsYuLdbYd05brzfpz+Fbq8SG9vQKLNsV/M1zxCR1KYjr6M5rAOtJiNp+TV4FcSmBXx1QI&#10;2hxpymYSeFnw2xLlHwAAAP//AwBQSwECLQAUAAYACAAAACEAtoM4kv4AAADhAQAAEwAAAAAAAAAA&#10;AAAAAAAAAAAAW0NvbnRlbnRfVHlwZXNdLnhtbFBLAQItABQABgAIAAAAIQA4/SH/1gAAAJQBAAAL&#10;AAAAAAAAAAAAAAAAAC8BAABfcmVscy8ucmVsc1BLAQItABQABgAIAAAAIQBeVllGPgIAAFUEAAAO&#10;AAAAAAAAAAAAAAAAAC4CAABkcnMvZTJvRG9jLnhtbFBLAQItABQABgAIAAAAIQBzKWyr4AAAAAwB&#10;AAAPAAAAAAAAAAAAAAAAAJgEAABkcnMvZG93bnJldi54bWxQSwUGAAAAAAQABADzAAAApQUAAAAA&#10;">
                <v:textbox style="layout-flow:vertical-ideographic">
                  <w:txbxContent>
                    <w:p w:rsidR="00692473" w:rsidRPr="000275AC" w:rsidRDefault="00692473" w:rsidP="00692473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32AD9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EBFBD" wp14:editId="751EB7BC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11430" t="5080" r="762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473" w:rsidRPr="000275AC" w:rsidRDefault="00692473" w:rsidP="006924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517.2pt;margin-top:34.8pt;width:3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MuQgIAAFwEAAAOAAAAZHJzL2Uyb0RvYy54bWysVF2O0zAQfkfiDpbfadLSstuo6WrpUoS0&#10;/EgLvLuOk1g4HmO7TfYEK3GA5ZkDcAAOtHsOxk62RMATIg+OJzP+PPN9M1mddY0iB2GdBJ3T6SSl&#10;RGgOhdRVTj+83z45pcR5pgumQIucXgtHz9aPH61ak4kZ1KAKYQmCaJe1Jqe19yZLEsdr0TA3ASM0&#10;OkuwDfNo2iopLGsRvVHJLE2fJS3Ywljgwjn8etE76Tril6Xg/m1ZOuGJyinm5uNq47oLa7Jesayy&#10;zNSSD2mwf8iiYVLjpUeoC+YZ2Vv5B1QjuQUHpZ9waBIoS8lFrAGrmaa/VXNVMyNiLUiOM0ea3P+D&#10;5W8O7yyRBWpHiWYNSnR/e3P3/ev97Y+7b1/INDDUGpdh4JXBUN89hy5Eh2qduQT+yRENm5rpSpxb&#10;C20tWIEZxpPJ6GiP4wLIrn0NBV7F9h4iUFfaJgAiIQTRUanrozqi84Tjx/l0OU3Rw9F1Mnu6xD3m&#10;lrDs4bCxzr8U0JCwyalF8SM4O1w634c+hMTkQcliK5WKhq12G2XJgWGjbOMzoLtxmNKkzelyMVv0&#10;9Y99bgyRxudvEI302PFKNjk9PQaxLLD2QhexHz2Tqt9jdUpjkYHGwFzPoe923aDZoM4Oimvk1ULf&#10;4DiQuBHsI74pabG9c+o+75kVlKhXGtVZTufzMA/RmC9OZmjYsWc39jDNa8CpQbB+u/H9DO2NlVWN&#10;d/X9oOEcFS1lZDvk3Oc1FIAtHPUaxi3MyNiOUb9+CuufAAAA//8DAFBLAwQUAAYACAAAACEAcyls&#10;q+AAAAAMAQAADwAAAGRycy9kb3ducmV2LnhtbEyPwW7CMBBE75X6D9ZW6qUqNgWZkMZBVQXHogLt&#10;3cQmiRqvo9gE9++7nMptZ3c0+6ZYJdex0Q6h9ahgOhHALFbetFgr+DpsnjNgIWo0uvNoFfzaAKvy&#10;/q7QufEX3NlxH2tGIRhyraCJsc85D1VjnQ4T31uk28kPTkeSQ83NoC8U7jr+IoTkTrdIHxrd2/fG&#10;Vj/7s1OQ5OHpY7GLi3W2HdOW6836c/hW6vEhvb0CizbFfzNc8QkdSmI6+jOawDrSYjafk1eBXEpg&#10;V8dUCNocacpmEnhZ8NsS5R8AAAD//wMAUEsBAi0AFAAGAAgAAAAhALaDOJL+AAAA4QEAABMAAAAA&#10;AAAAAAAAAAAAAAAAAFtDb250ZW50X1R5cGVzXS54bWxQSwECLQAUAAYACAAAACEAOP0h/9YAAACU&#10;AQAACwAAAAAAAAAAAAAAAAAvAQAAX3JlbHMvLnJlbHNQSwECLQAUAAYACAAAACEA5rpDLkICAABc&#10;BAAADgAAAAAAAAAAAAAAAAAuAgAAZHJzL2Uyb0RvYy54bWxQSwECLQAUAAYACAAAACEAcylsq+AA&#10;AAAMAQAADwAAAAAAAAAAAAAAAACcBAAAZHJzL2Rvd25yZXYueG1sUEsFBgAAAAAEAAQA8wAAAKkF&#10;AAAAAA==&#10;">
                <v:textbox style="layout-flow:vertical-ideographic">
                  <w:txbxContent>
                    <w:p w:rsidR="00692473" w:rsidRPr="000275AC" w:rsidRDefault="00692473" w:rsidP="00692473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32AD9">
        <w:rPr>
          <w:rFonts w:ascii="標楷體" w:eastAsia="標楷體" w:hAnsi="標楷體" w:hint="eastAsia"/>
          <w:b/>
          <w:sz w:val="28"/>
          <w:szCs w:val="28"/>
        </w:rPr>
        <w:t>財團法人中華民國證券櫃檯買賣中心</w:t>
      </w:r>
    </w:p>
    <w:p w:rsidR="00692473" w:rsidRPr="00F66537" w:rsidRDefault="00692473" w:rsidP="00692473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66537">
        <w:rPr>
          <w:rFonts w:ascii="標楷體" w:eastAsia="標楷體" w:hAnsi="標楷體" w:hint="eastAsia"/>
          <w:b/>
          <w:sz w:val="28"/>
          <w:szCs w:val="28"/>
        </w:rPr>
        <w:t>證券商營業處所買賣有價證券業務規則第三十五條修正條文對照表</w:t>
      </w:r>
    </w:p>
    <w:p w:rsidR="00692473" w:rsidRPr="00D06B90" w:rsidRDefault="00692473" w:rsidP="00692473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692473" w:rsidRPr="000B2FA6" w:rsidTr="000767E9">
        <w:trPr>
          <w:tblHeader/>
        </w:trPr>
        <w:tc>
          <w:tcPr>
            <w:tcW w:w="2787" w:type="dxa"/>
          </w:tcPr>
          <w:p w:rsidR="00692473" w:rsidRPr="000B2FA6" w:rsidRDefault="00692473" w:rsidP="000767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787" w:type="dxa"/>
          </w:tcPr>
          <w:p w:rsidR="00692473" w:rsidRPr="000B2FA6" w:rsidRDefault="00692473" w:rsidP="000767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2788" w:type="dxa"/>
          </w:tcPr>
          <w:p w:rsidR="00692473" w:rsidRPr="000B2FA6" w:rsidRDefault="00692473" w:rsidP="000767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692473" w:rsidRPr="00B4362B" w:rsidTr="000767E9">
        <w:tc>
          <w:tcPr>
            <w:tcW w:w="2787" w:type="dxa"/>
          </w:tcPr>
          <w:p w:rsidR="00692473" w:rsidRPr="001C55FA" w:rsidRDefault="00692473" w:rsidP="000767E9">
            <w:pPr>
              <w:pStyle w:val="HTML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 w:rsidRPr="001C55FA">
              <w:rPr>
                <w:rFonts w:ascii="標楷體" w:eastAsia="標楷體" w:hAnsi="標楷體" w:hint="eastAsia"/>
                <w:color w:val="auto"/>
              </w:rPr>
              <w:t>第</w:t>
            </w:r>
            <w:r>
              <w:rPr>
                <w:rFonts w:ascii="標楷體" w:eastAsia="標楷體" w:hAnsi="標楷體" w:hint="eastAsia"/>
                <w:color w:val="auto"/>
              </w:rPr>
              <w:t>三</w:t>
            </w:r>
            <w:r w:rsidRPr="001C55FA">
              <w:rPr>
                <w:rFonts w:ascii="標楷體" w:eastAsia="標楷體" w:hAnsi="標楷體" w:hint="eastAsia"/>
                <w:color w:val="auto"/>
              </w:rPr>
              <w:t>十</w:t>
            </w:r>
            <w:r>
              <w:rPr>
                <w:rFonts w:ascii="標楷體" w:eastAsia="標楷體" w:hAnsi="標楷體" w:hint="eastAsia"/>
                <w:color w:val="auto"/>
              </w:rPr>
              <w:t>五</w:t>
            </w:r>
            <w:r w:rsidRPr="001C55FA">
              <w:rPr>
                <w:rFonts w:ascii="標楷體" w:eastAsia="標楷體" w:hAnsi="標楷體" w:hint="eastAsia"/>
                <w:color w:val="auto"/>
              </w:rPr>
              <w:t>條</w:t>
            </w:r>
          </w:p>
          <w:p w:rsidR="00692473" w:rsidRDefault="00692473" w:rsidP="000767E9">
            <w:pPr>
              <w:pStyle w:val="HTML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　　第一至三項（略）</w:t>
            </w:r>
          </w:p>
          <w:p w:rsidR="00692473" w:rsidRDefault="00692473" w:rsidP="000767E9">
            <w:pPr>
              <w:pStyle w:val="HTML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E83A70">
              <w:rPr>
                <w:rFonts w:ascii="標楷體" w:eastAsia="標楷體" w:hAnsi="標楷體" w:hint="eastAsia"/>
                <w:color w:val="auto"/>
              </w:rPr>
              <w:t>有價證券於等價成交系統</w:t>
            </w:r>
            <w:r w:rsidRPr="006C2D48">
              <w:rPr>
                <w:rFonts w:ascii="標楷體" w:eastAsia="標楷體" w:hAnsi="標楷體" w:hint="eastAsia"/>
                <w:color w:val="auto"/>
                <w:u w:val="single"/>
              </w:rPr>
              <w:t>開市</w:t>
            </w:r>
            <w:r w:rsidRPr="00F36436">
              <w:rPr>
                <w:rFonts w:ascii="標楷體" w:eastAsia="標楷體" w:hAnsi="標楷體" w:hint="eastAsia"/>
                <w:color w:val="auto"/>
                <w:u w:val="single"/>
              </w:rPr>
              <w:t>(即交易時間開始)</w:t>
            </w:r>
            <w:r w:rsidRPr="006C2D48">
              <w:rPr>
                <w:rFonts w:ascii="標楷體" w:eastAsia="標楷體" w:hAnsi="標楷體" w:hint="eastAsia"/>
                <w:color w:val="auto"/>
                <w:u w:val="single"/>
              </w:rPr>
              <w:t>或</w:t>
            </w:r>
            <w:r w:rsidRPr="00E83A70">
              <w:rPr>
                <w:rFonts w:ascii="標楷體" w:eastAsia="標楷體" w:hAnsi="標楷體" w:hint="eastAsia"/>
                <w:color w:val="auto"/>
              </w:rPr>
              <w:t>收市</w:t>
            </w:r>
            <w:r w:rsidRPr="00F36436">
              <w:rPr>
                <w:rFonts w:ascii="標楷體" w:eastAsia="標楷體" w:hAnsi="標楷體" w:hint="eastAsia"/>
                <w:color w:val="auto"/>
                <w:u w:val="single"/>
              </w:rPr>
              <w:t>(即交易時間結束)</w:t>
            </w:r>
            <w:r w:rsidRPr="00E83A70">
              <w:rPr>
                <w:rFonts w:ascii="標楷體" w:eastAsia="標楷體" w:hAnsi="標楷體" w:hint="eastAsia"/>
                <w:color w:val="auto"/>
              </w:rPr>
              <w:t>前一分鐘，如任一次與其前一次之試算成交價格</w:t>
            </w:r>
            <w:proofErr w:type="gramStart"/>
            <w:r w:rsidRPr="00E83A70">
              <w:rPr>
                <w:rFonts w:ascii="標楷體" w:eastAsia="標楷體" w:hAnsi="標楷體" w:hint="eastAsia"/>
                <w:color w:val="auto"/>
              </w:rPr>
              <w:t>漲跌超逾</w:t>
            </w:r>
            <w:proofErr w:type="gramEnd"/>
            <w:r w:rsidRPr="00E83A70">
              <w:rPr>
                <w:rFonts w:ascii="標楷體" w:eastAsia="標楷體" w:hAnsi="標楷體" w:hint="eastAsia"/>
                <w:color w:val="auto"/>
              </w:rPr>
              <w:t>百分之三點五時</w:t>
            </w:r>
            <w:proofErr w:type="gramStart"/>
            <w:r w:rsidRPr="00E83A70">
              <w:rPr>
                <w:rFonts w:ascii="標楷體" w:eastAsia="標楷體" w:hAnsi="標楷體" w:hint="eastAsia"/>
                <w:color w:val="auto"/>
              </w:rPr>
              <w:t>（</w:t>
            </w:r>
            <w:proofErr w:type="gramEnd"/>
            <w:r w:rsidRPr="006C2D48">
              <w:rPr>
                <w:rFonts w:ascii="標楷體" w:eastAsia="標楷體" w:hAnsi="標楷體" w:hint="eastAsia"/>
                <w:color w:val="auto"/>
                <w:u w:val="single"/>
              </w:rPr>
              <w:t>開市</w:t>
            </w:r>
            <w:r w:rsidRPr="002B2F2D">
              <w:rPr>
                <w:rFonts w:ascii="標楷體" w:eastAsia="標楷體" w:hAnsi="標楷體" w:hint="eastAsia"/>
                <w:color w:val="auto"/>
                <w:u w:val="single"/>
              </w:rPr>
              <w:t>前之三十分鐘如無前一次試算成交價，則以開始交易基準價為</w:t>
            </w:r>
            <w:proofErr w:type="gramStart"/>
            <w:r w:rsidRPr="002B2F2D">
              <w:rPr>
                <w:rFonts w:ascii="標楷體" w:eastAsia="標楷體" w:hAnsi="標楷體" w:hint="eastAsia"/>
                <w:color w:val="auto"/>
                <w:u w:val="single"/>
              </w:rPr>
              <w:t>準</w:t>
            </w:r>
            <w:proofErr w:type="gramEnd"/>
            <w:r w:rsidRPr="002B2F2D">
              <w:rPr>
                <w:rFonts w:ascii="標楷體" w:eastAsia="標楷體" w:hAnsi="標楷體" w:hint="eastAsia"/>
                <w:color w:val="auto"/>
                <w:u w:val="single"/>
              </w:rPr>
              <w:t>；收市前一段時間</w:t>
            </w:r>
            <w:r w:rsidRPr="00E83A70">
              <w:rPr>
                <w:rFonts w:ascii="標楷體" w:eastAsia="標楷體" w:hAnsi="標楷體" w:hint="eastAsia"/>
                <w:color w:val="auto"/>
              </w:rPr>
              <w:t>如無前一次試算成交價，則以最近一次成交價為</w:t>
            </w:r>
            <w:proofErr w:type="gramStart"/>
            <w:r w:rsidRPr="00E83A70">
              <w:rPr>
                <w:rFonts w:ascii="標楷體" w:eastAsia="標楷體" w:hAnsi="標楷體" w:hint="eastAsia"/>
                <w:color w:val="auto"/>
              </w:rPr>
              <w:t>準</w:t>
            </w:r>
            <w:proofErr w:type="gramEnd"/>
            <w:r w:rsidRPr="00E83A70">
              <w:rPr>
                <w:rFonts w:ascii="標楷體" w:eastAsia="標楷體" w:hAnsi="標楷體" w:hint="eastAsia"/>
                <w:color w:val="auto"/>
              </w:rPr>
              <w:t>，如仍無最近一次成交價，則以開始交易基準價為</w:t>
            </w:r>
            <w:proofErr w:type="gramStart"/>
            <w:r w:rsidRPr="00E83A70">
              <w:rPr>
                <w:rFonts w:ascii="標楷體" w:eastAsia="標楷體" w:hAnsi="標楷體" w:hint="eastAsia"/>
                <w:color w:val="auto"/>
              </w:rPr>
              <w:t>準）</w:t>
            </w:r>
            <w:proofErr w:type="gramEnd"/>
            <w:r w:rsidRPr="00E83A70">
              <w:rPr>
                <w:rFonts w:ascii="標楷體" w:eastAsia="標楷體" w:hAnsi="標楷體" w:hint="eastAsia"/>
                <w:color w:val="auto"/>
              </w:rPr>
              <w:t>，該有價證券暫緩</w:t>
            </w:r>
            <w:r w:rsidRPr="00AF4658">
              <w:rPr>
                <w:rFonts w:ascii="標楷體" w:eastAsia="標楷體" w:hAnsi="標楷體" w:hint="eastAsia"/>
                <w:color w:val="auto"/>
                <w:u w:val="single"/>
              </w:rPr>
              <w:t>當市第一次撮合或收市撮合。暫緩當市第一次撮合之有價證券，延緩二分鐘後依序撮合成交。</w:t>
            </w:r>
            <w:r w:rsidRPr="009E403C">
              <w:rPr>
                <w:rFonts w:ascii="標楷體" w:eastAsia="標楷體" w:hAnsi="標楷體" w:hint="eastAsia"/>
                <w:color w:val="auto"/>
                <w:u w:val="single"/>
              </w:rPr>
              <w:t>暫緩收市撮合</w:t>
            </w:r>
            <w:r w:rsidRPr="00AF4658">
              <w:rPr>
                <w:rFonts w:ascii="標楷體" w:eastAsia="標楷體" w:hAnsi="標楷體" w:hint="eastAsia"/>
                <w:color w:val="auto"/>
                <w:u w:val="single"/>
              </w:rPr>
              <w:t>之有價證券，</w:t>
            </w:r>
            <w:r w:rsidRPr="00E83A70">
              <w:rPr>
                <w:rFonts w:ascii="標楷體" w:eastAsia="標楷體" w:hAnsi="標楷體" w:hint="eastAsia"/>
                <w:color w:val="auto"/>
              </w:rPr>
              <w:t>於一時三十一分起至一時三十三分繼續接受其買賣申報之輸入、取消及變更，</w:t>
            </w:r>
            <w:proofErr w:type="gramStart"/>
            <w:r w:rsidRPr="00E83A70">
              <w:rPr>
                <w:rFonts w:ascii="標楷體" w:eastAsia="標楷體" w:hAnsi="標楷體" w:hint="eastAsia"/>
                <w:color w:val="auto"/>
              </w:rPr>
              <w:t>俟</w:t>
            </w:r>
            <w:proofErr w:type="gramEnd"/>
            <w:r w:rsidRPr="00E83A70">
              <w:rPr>
                <w:rFonts w:ascii="標楷體" w:eastAsia="標楷體" w:hAnsi="標楷體" w:hint="eastAsia"/>
                <w:color w:val="auto"/>
              </w:rPr>
              <w:t>一時三十三分依序撮合成交。但管理股票、依本中心章則規定施以延長撮合間隔時間之有價證券、當日開始交易基準價低於一元之有價證券、認購（售）權證及分離後認股權憑證，不在</w:t>
            </w:r>
            <w:r w:rsidRPr="00E83A70">
              <w:rPr>
                <w:rFonts w:ascii="標楷體" w:eastAsia="標楷體" w:hAnsi="標楷體" w:hint="eastAsia"/>
                <w:color w:val="auto"/>
              </w:rPr>
              <w:lastRenderedPageBreak/>
              <w:t>此限。</w:t>
            </w: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第五至六項（略）</w:t>
            </w: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E83A70">
              <w:rPr>
                <w:rFonts w:ascii="標楷體" w:eastAsia="標楷體" w:hAnsi="標楷體" w:hint="eastAsia"/>
                <w:color w:val="auto"/>
              </w:rPr>
              <w:t>本中心於</w:t>
            </w:r>
            <w:r w:rsidRPr="008E5E67">
              <w:rPr>
                <w:rFonts w:ascii="標楷體" w:eastAsia="標楷體" w:hAnsi="標楷體" w:hint="eastAsia"/>
                <w:color w:val="auto"/>
                <w:u w:val="single"/>
              </w:rPr>
              <w:t>開市</w:t>
            </w:r>
            <w:r w:rsidRPr="00E54077">
              <w:rPr>
                <w:rFonts w:ascii="標楷體" w:eastAsia="標楷體" w:hAnsi="標楷體" w:hint="eastAsia"/>
                <w:color w:val="auto"/>
                <w:u w:val="single"/>
              </w:rPr>
              <w:t>前之三十分鐘及收市前一段時間，即時揭示試算成交價格與數量及試算未成交之最高</w:t>
            </w:r>
            <w:r w:rsidRPr="00245339">
              <w:rPr>
                <w:rFonts w:ascii="標楷體" w:eastAsia="標楷體" w:hAnsi="標楷體" w:hint="eastAsia"/>
                <w:color w:val="auto"/>
                <w:u w:val="single"/>
              </w:rPr>
              <w:t>五檔</w:t>
            </w:r>
            <w:r w:rsidRPr="00E54077">
              <w:rPr>
                <w:rFonts w:ascii="標楷體" w:eastAsia="標楷體" w:hAnsi="標楷體" w:hint="eastAsia"/>
                <w:color w:val="auto"/>
                <w:u w:val="single"/>
              </w:rPr>
              <w:t>買進及最低</w:t>
            </w:r>
            <w:r w:rsidRPr="00245339">
              <w:rPr>
                <w:rFonts w:ascii="標楷體" w:eastAsia="標楷體" w:hAnsi="標楷體" w:hint="eastAsia"/>
                <w:color w:val="auto"/>
                <w:u w:val="single"/>
              </w:rPr>
              <w:t>五檔</w:t>
            </w:r>
            <w:r w:rsidRPr="00E54077">
              <w:rPr>
                <w:rFonts w:ascii="標楷體" w:eastAsia="標楷體" w:hAnsi="標楷體" w:hint="eastAsia"/>
                <w:color w:val="auto"/>
                <w:u w:val="single"/>
              </w:rPr>
              <w:t>賣出申報價格與數量；</w:t>
            </w:r>
            <w:r w:rsidRPr="00DC3E2A">
              <w:rPr>
                <w:rFonts w:ascii="標楷體" w:eastAsia="標楷體" w:hAnsi="標楷體" w:hint="eastAsia"/>
                <w:color w:val="auto"/>
                <w:u w:val="single"/>
              </w:rPr>
              <w:t>另</w:t>
            </w:r>
            <w:r w:rsidRPr="00E83A70">
              <w:rPr>
                <w:rFonts w:ascii="標楷體" w:eastAsia="標楷體" w:hAnsi="標楷體" w:hint="eastAsia"/>
                <w:color w:val="auto"/>
              </w:rPr>
              <w:t>交易時間內即時揭示成交價格與數量，及未成交之最高</w:t>
            </w:r>
            <w:r w:rsidRPr="00245339">
              <w:rPr>
                <w:rFonts w:ascii="標楷體" w:eastAsia="標楷體" w:hAnsi="標楷體" w:hint="eastAsia"/>
                <w:color w:val="auto"/>
                <w:u w:val="single"/>
              </w:rPr>
              <w:t>五檔</w:t>
            </w:r>
            <w:r w:rsidRPr="00E83A70">
              <w:rPr>
                <w:rFonts w:ascii="標楷體" w:eastAsia="標楷體" w:hAnsi="標楷體" w:hint="eastAsia"/>
                <w:color w:val="auto"/>
              </w:rPr>
              <w:t>買進及最低</w:t>
            </w:r>
            <w:r w:rsidRPr="00245339">
              <w:rPr>
                <w:rFonts w:ascii="標楷體" w:eastAsia="標楷體" w:hAnsi="標楷體" w:hint="eastAsia"/>
                <w:color w:val="auto"/>
                <w:u w:val="single"/>
              </w:rPr>
              <w:t>五檔</w:t>
            </w:r>
            <w:r w:rsidRPr="00E83A70">
              <w:rPr>
                <w:rFonts w:ascii="標楷體" w:eastAsia="標楷體" w:hAnsi="標楷體" w:hint="eastAsia"/>
                <w:color w:val="auto"/>
              </w:rPr>
              <w:t>賣出申報價格或數量。但其他買賣申報之價格與數量，本中心得視市場需要為適當揭示。</w:t>
            </w:r>
          </w:p>
          <w:p w:rsidR="00692473" w:rsidRPr="00E83A70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第八至十項（略）</w:t>
            </w:r>
          </w:p>
        </w:tc>
        <w:tc>
          <w:tcPr>
            <w:tcW w:w="2787" w:type="dxa"/>
          </w:tcPr>
          <w:p w:rsidR="00692473" w:rsidRPr="001C55FA" w:rsidRDefault="00692473" w:rsidP="000767E9">
            <w:pPr>
              <w:pStyle w:val="HTML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 w:rsidRPr="001C55FA">
              <w:rPr>
                <w:rFonts w:ascii="標楷體" w:eastAsia="標楷體" w:hAnsi="標楷體" w:hint="eastAsia"/>
                <w:color w:val="auto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color w:val="auto"/>
              </w:rPr>
              <w:t>三</w:t>
            </w:r>
            <w:r w:rsidRPr="001C55FA">
              <w:rPr>
                <w:rFonts w:ascii="標楷體" w:eastAsia="標楷體" w:hAnsi="標楷體" w:hint="eastAsia"/>
                <w:color w:val="auto"/>
              </w:rPr>
              <w:t>十</w:t>
            </w:r>
            <w:r>
              <w:rPr>
                <w:rFonts w:ascii="標楷體" w:eastAsia="標楷體" w:hAnsi="標楷體" w:hint="eastAsia"/>
                <w:color w:val="auto"/>
              </w:rPr>
              <w:t>五</w:t>
            </w:r>
            <w:r w:rsidRPr="001C55FA">
              <w:rPr>
                <w:rFonts w:ascii="標楷體" w:eastAsia="標楷體" w:hAnsi="標楷體" w:hint="eastAsia"/>
                <w:color w:val="auto"/>
              </w:rPr>
              <w:t>條</w:t>
            </w:r>
          </w:p>
          <w:p w:rsidR="00692473" w:rsidRDefault="00692473" w:rsidP="000767E9">
            <w:pPr>
              <w:pStyle w:val="HTML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　　第一至三項（略）</w:t>
            </w:r>
          </w:p>
          <w:p w:rsidR="00692473" w:rsidRDefault="00692473" w:rsidP="000767E9">
            <w:pPr>
              <w:pStyle w:val="HTML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E83A70">
              <w:rPr>
                <w:rFonts w:ascii="標楷體" w:eastAsia="標楷體" w:hAnsi="標楷體" w:hint="eastAsia"/>
                <w:color w:val="auto"/>
              </w:rPr>
              <w:t>有價證券於等價成交系統收市前一分鐘，如任一次與其前一次之試算成交價格</w:t>
            </w:r>
            <w:proofErr w:type="gramStart"/>
            <w:r w:rsidRPr="00E83A70">
              <w:rPr>
                <w:rFonts w:ascii="標楷體" w:eastAsia="標楷體" w:hAnsi="標楷體" w:hint="eastAsia"/>
                <w:color w:val="auto"/>
              </w:rPr>
              <w:t>漲跌超逾</w:t>
            </w:r>
            <w:proofErr w:type="gramEnd"/>
            <w:r w:rsidRPr="00E83A70">
              <w:rPr>
                <w:rFonts w:ascii="標楷體" w:eastAsia="標楷體" w:hAnsi="標楷體" w:hint="eastAsia"/>
                <w:color w:val="auto"/>
              </w:rPr>
              <w:t>百分之三點五時（如無前一次試算成交價，則以最近一次成交價為</w:t>
            </w:r>
            <w:proofErr w:type="gramStart"/>
            <w:r w:rsidRPr="00E83A70">
              <w:rPr>
                <w:rFonts w:ascii="標楷體" w:eastAsia="標楷體" w:hAnsi="標楷體" w:hint="eastAsia"/>
                <w:color w:val="auto"/>
              </w:rPr>
              <w:t>準</w:t>
            </w:r>
            <w:proofErr w:type="gramEnd"/>
            <w:r w:rsidRPr="00E83A70">
              <w:rPr>
                <w:rFonts w:ascii="標楷體" w:eastAsia="標楷體" w:hAnsi="標楷體" w:hint="eastAsia"/>
                <w:color w:val="auto"/>
              </w:rPr>
              <w:t>，如仍無最近一次成交價，則以開始交易基準價為</w:t>
            </w:r>
            <w:proofErr w:type="gramStart"/>
            <w:r w:rsidRPr="00E83A70">
              <w:rPr>
                <w:rFonts w:ascii="標楷體" w:eastAsia="標楷體" w:hAnsi="標楷體" w:hint="eastAsia"/>
                <w:color w:val="auto"/>
              </w:rPr>
              <w:t>準</w:t>
            </w:r>
            <w:proofErr w:type="gramEnd"/>
            <w:r w:rsidRPr="00E83A70">
              <w:rPr>
                <w:rFonts w:ascii="標楷體" w:eastAsia="標楷體" w:hAnsi="標楷體" w:hint="eastAsia"/>
                <w:color w:val="auto"/>
              </w:rPr>
              <w:t>），該有價證券暫緩收市撮合，於一時三十一分起至一時三十三分繼續接受其買賣申報之輸入、取消及變更，</w:t>
            </w:r>
            <w:proofErr w:type="gramStart"/>
            <w:r w:rsidRPr="00E83A70">
              <w:rPr>
                <w:rFonts w:ascii="標楷體" w:eastAsia="標楷體" w:hAnsi="標楷體" w:hint="eastAsia"/>
                <w:color w:val="auto"/>
              </w:rPr>
              <w:t>俟</w:t>
            </w:r>
            <w:proofErr w:type="gramEnd"/>
            <w:r w:rsidRPr="00E83A70">
              <w:rPr>
                <w:rFonts w:ascii="標楷體" w:eastAsia="標楷體" w:hAnsi="標楷體" w:hint="eastAsia"/>
                <w:color w:val="auto"/>
              </w:rPr>
              <w:t>一時三十三分依序撮合成交。但管理股票、依本中心章則規定施以延長撮合間隔時間之有價證券、當日開始交易基準價低於一元之有價證券、認購（售）權證及分離後認股權憑證，不在此限。</w:t>
            </w: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Pr="004C3E3C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第五至六項（略）</w:t>
            </w: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E83A70">
              <w:rPr>
                <w:rFonts w:ascii="標楷體" w:eastAsia="標楷體" w:hAnsi="標楷體" w:hint="eastAsia"/>
                <w:color w:val="auto"/>
              </w:rPr>
              <w:t>本中心於交易時間內即時揭示成交價格與數量，及未成交之最高買進及最低賣出申報價格或數量。但其他買賣申報之價格與數量，本中心得視市場需要為適當揭示。</w:t>
            </w: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692473" w:rsidRPr="00E83A70" w:rsidRDefault="00692473" w:rsidP="000767E9">
            <w:pPr>
              <w:pStyle w:val="HTML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第八至十項（略）</w:t>
            </w:r>
          </w:p>
        </w:tc>
        <w:tc>
          <w:tcPr>
            <w:tcW w:w="2788" w:type="dxa"/>
          </w:tcPr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為提高資訊透明度並提供更多訊息予投資人參考，</w:t>
            </w:r>
            <w:proofErr w:type="gramStart"/>
            <w:r w:rsidRPr="0064788F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64788F">
              <w:rPr>
                <w:rFonts w:ascii="標楷體" w:eastAsia="標楷體" w:hAnsi="標楷體" w:hint="eastAsia"/>
                <w:szCs w:val="24"/>
              </w:rPr>
              <w:t>修正本條第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4788F">
              <w:rPr>
                <w:rFonts w:ascii="標楷體" w:eastAsia="標楷體" w:hAnsi="標楷體" w:hint="eastAsia"/>
                <w:szCs w:val="24"/>
              </w:rPr>
              <w:t>項</w:t>
            </w:r>
            <w:r>
              <w:rPr>
                <w:rFonts w:ascii="標楷體" w:eastAsia="標楷體" w:hAnsi="標楷體" w:hint="eastAsia"/>
                <w:szCs w:val="24"/>
              </w:rPr>
              <w:t>及第7項之</w:t>
            </w:r>
            <w:r w:rsidRPr="0064788F">
              <w:rPr>
                <w:rFonts w:ascii="標楷體" w:eastAsia="標楷體" w:hAnsi="標楷體" w:hint="eastAsia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，實施開盤及收盤前</w:t>
            </w:r>
            <w:r w:rsidRPr="005358BD">
              <w:rPr>
                <w:rFonts w:ascii="標楷體" w:eastAsia="標楷體" w:hAnsi="標楷體" w:hint="eastAsia"/>
                <w:szCs w:val="24"/>
              </w:rPr>
              <w:t>資訊揭露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暫緩開盤等相關措施</w:t>
            </w:r>
            <w:r w:rsidRPr="0064788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92473" w:rsidRPr="00070994" w:rsidRDefault="00692473" w:rsidP="000767E9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本中心依但書規定因市場需要，於91年11月28日以(91)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證櫃交字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第45337號公告本中心等價成交系統自92年1月2日實施「揭露最佳五檔買賣價量資訊」。</w:t>
            </w:r>
            <w:r w:rsidRPr="00245339">
              <w:rPr>
                <w:rFonts w:ascii="標楷體" w:eastAsia="標楷體" w:hAnsi="標楷體" w:hint="eastAsia"/>
              </w:rPr>
              <w:t>本次修正案將</w:t>
            </w:r>
            <w:r w:rsidRPr="00245339">
              <w:rPr>
                <w:rFonts w:ascii="標楷體" w:eastAsia="標楷體" w:hAnsi="標楷體" w:hint="eastAsia"/>
                <w:szCs w:val="24"/>
              </w:rPr>
              <w:t>揭露最佳五檔買賣價量資訊明訂於條文中</w:t>
            </w:r>
            <w:r w:rsidRPr="00245339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692473" w:rsidRPr="00DC3E2A" w:rsidRDefault="00692473" w:rsidP="00692473">
      <w:pPr>
        <w:rPr>
          <w:rFonts w:ascii="標楷體" w:eastAsia="標楷體" w:hAnsi="標楷體"/>
          <w:sz w:val="36"/>
          <w:szCs w:val="36"/>
        </w:rPr>
      </w:pPr>
    </w:p>
    <w:p w:rsidR="00813AA7" w:rsidRPr="00692473" w:rsidRDefault="005F1C51"/>
    <w:sectPr w:rsidR="00813AA7" w:rsidRPr="00692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51" w:rsidRDefault="005F1C51" w:rsidP="0070646E">
      <w:r>
        <w:separator/>
      </w:r>
    </w:p>
  </w:endnote>
  <w:endnote w:type="continuationSeparator" w:id="0">
    <w:p w:rsidR="005F1C51" w:rsidRDefault="005F1C51" w:rsidP="0070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51" w:rsidRDefault="005F1C51" w:rsidP="0070646E">
      <w:r>
        <w:separator/>
      </w:r>
    </w:p>
  </w:footnote>
  <w:footnote w:type="continuationSeparator" w:id="0">
    <w:p w:rsidR="005F1C51" w:rsidRDefault="005F1C51" w:rsidP="0070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73"/>
    <w:rsid w:val="003F5452"/>
    <w:rsid w:val="005F1C51"/>
    <w:rsid w:val="00692473"/>
    <w:rsid w:val="0070646E"/>
    <w:rsid w:val="008D7A41"/>
    <w:rsid w:val="00C26138"/>
    <w:rsid w:val="00C710CB"/>
    <w:rsid w:val="00E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924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9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92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92473"/>
    <w:rPr>
      <w:rFonts w:ascii="細明體" w:eastAsia="細明體" w:hAnsi="細明體" w:cs="細明體"/>
      <w:color w:val="333333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06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64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6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64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924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9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92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92473"/>
    <w:rPr>
      <w:rFonts w:ascii="細明體" w:eastAsia="細明體" w:hAnsi="細明體" w:cs="細明體"/>
      <w:color w:val="333333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06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64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6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64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張翠蘭</dc:creator>
  <cp:lastModifiedBy>張翠蘭</cp:lastModifiedBy>
  <cp:revision>2</cp:revision>
  <dcterms:created xsi:type="dcterms:W3CDTF">2015-06-18T02:25:00Z</dcterms:created>
  <dcterms:modified xsi:type="dcterms:W3CDTF">2015-06-18T02:25:00Z</dcterms:modified>
</cp:coreProperties>
</file>