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D74B5" w14:textId="1E118764" w:rsidR="00742B9C" w:rsidRPr="00676B08" w:rsidRDefault="00AF078A" w:rsidP="00742B9C">
      <w:pPr>
        <w:spacing w:line="0" w:lineRule="atLeast"/>
        <w:jc w:val="center"/>
        <w:rPr>
          <w:rFonts w:ascii="標楷體" w:eastAsia="標楷體" w:hAnsi="標楷體"/>
          <w:b/>
          <w:sz w:val="31"/>
          <w:szCs w:val="31"/>
        </w:rPr>
      </w:pPr>
      <w:r w:rsidRPr="00676B08">
        <w:rPr>
          <w:rFonts w:ascii="標楷體" w:eastAsia="標楷體" w:hAnsi="標楷體" w:hint="eastAsia"/>
          <w:b/>
          <w:sz w:val="31"/>
          <w:szCs w:val="31"/>
        </w:rPr>
        <w:t>財團法人中華民國證券櫃檯買賣中心</w:t>
      </w:r>
      <w:r w:rsidR="00742B9C" w:rsidRPr="00676B08">
        <w:rPr>
          <w:rFonts w:ascii="標楷體" w:eastAsia="標楷體" w:hAnsi="標楷體" w:hint="eastAsia"/>
          <w:b/>
          <w:sz w:val="31"/>
          <w:szCs w:val="31"/>
        </w:rPr>
        <w:t>股票造市者及</w:t>
      </w:r>
      <w:r w:rsidR="00B7769E" w:rsidRPr="00676B08">
        <w:rPr>
          <w:rFonts w:ascii="標楷體" w:eastAsia="標楷體" w:hAnsi="標楷體" w:hint="eastAsia"/>
          <w:b/>
          <w:sz w:val="31"/>
          <w:szCs w:val="31"/>
        </w:rPr>
        <w:t>交易獎勵參與者</w:t>
      </w:r>
      <w:r w:rsidR="00742B9C" w:rsidRPr="00676B08">
        <w:rPr>
          <w:rFonts w:ascii="標楷體" w:eastAsia="標楷體" w:hAnsi="標楷體" w:hint="eastAsia"/>
          <w:b/>
          <w:sz w:val="31"/>
          <w:szCs w:val="31"/>
        </w:rPr>
        <w:t>作業辦法總說明</w:t>
      </w:r>
    </w:p>
    <w:p w14:paraId="4C632F20" w14:textId="19886BEB" w:rsidR="00742B9C" w:rsidRPr="00676B08" w:rsidRDefault="00742B9C" w:rsidP="00742B9C">
      <w:pPr>
        <w:spacing w:line="440" w:lineRule="exact"/>
        <w:ind w:firstLineChars="200" w:firstLine="560"/>
        <w:rPr>
          <w:rFonts w:ascii="標楷體" w:eastAsia="標楷體" w:hAnsi="標楷體"/>
          <w:sz w:val="28"/>
          <w:szCs w:val="28"/>
        </w:rPr>
      </w:pPr>
      <w:r w:rsidRPr="00676B08">
        <w:rPr>
          <w:rFonts w:ascii="標楷體" w:eastAsia="標楷體" w:hAnsi="標楷體" w:hint="eastAsia"/>
          <w:sz w:val="28"/>
          <w:szCs w:val="28"/>
        </w:rPr>
        <w:t>為提</w:t>
      </w:r>
      <w:r w:rsidR="003D26D5" w:rsidRPr="00676B08">
        <w:rPr>
          <w:rFonts w:ascii="標楷體" w:eastAsia="標楷體" w:hAnsi="標楷體" w:hint="eastAsia"/>
          <w:sz w:val="28"/>
          <w:szCs w:val="28"/>
        </w:rPr>
        <w:t>升</w:t>
      </w:r>
      <w:r w:rsidR="00AF77CE" w:rsidRPr="00676B08">
        <w:rPr>
          <w:rFonts w:ascii="標楷體" w:eastAsia="標楷體" w:hAnsi="標楷體" w:hint="eastAsia"/>
          <w:sz w:val="28"/>
          <w:szCs w:val="28"/>
        </w:rPr>
        <w:t>上</w:t>
      </w:r>
      <w:r w:rsidR="00BF1C1F" w:rsidRPr="00676B08">
        <w:rPr>
          <w:rFonts w:ascii="標楷體" w:eastAsia="標楷體" w:hAnsi="標楷體" w:hint="eastAsia"/>
          <w:sz w:val="28"/>
          <w:szCs w:val="28"/>
        </w:rPr>
        <w:t>櫃</w:t>
      </w:r>
      <w:r w:rsidRPr="00676B08">
        <w:rPr>
          <w:rFonts w:ascii="標楷體" w:eastAsia="標楷體" w:hAnsi="標楷體" w:hint="eastAsia"/>
          <w:sz w:val="28"/>
          <w:szCs w:val="28"/>
        </w:rPr>
        <w:t>股票</w:t>
      </w:r>
      <w:r w:rsidR="005F4B76" w:rsidRPr="00676B08">
        <w:rPr>
          <w:rFonts w:ascii="標楷體" w:eastAsia="標楷體" w:hAnsi="標楷體" w:hint="eastAsia"/>
          <w:sz w:val="28"/>
          <w:szCs w:val="28"/>
        </w:rPr>
        <w:t>市場</w:t>
      </w:r>
      <w:r w:rsidR="00AF77CE" w:rsidRPr="00676B08">
        <w:rPr>
          <w:rFonts w:ascii="標楷體" w:eastAsia="標楷體" w:hAnsi="標楷體" w:hint="eastAsia"/>
          <w:sz w:val="28"/>
          <w:szCs w:val="28"/>
        </w:rPr>
        <w:t>之</w:t>
      </w:r>
      <w:r w:rsidRPr="00676B08">
        <w:rPr>
          <w:rFonts w:ascii="標楷體" w:eastAsia="標楷體" w:hAnsi="標楷體" w:hint="eastAsia"/>
          <w:sz w:val="28"/>
          <w:szCs w:val="28"/>
        </w:rPr>
        <w:t>流動性，爰訂定本辦法，條文共計</w:t>
      </w:r>
      <w:r w:rsidR="00FC0462" w:rsidRPr="00676B08">
        <w:rPr>
          <w:rFonts w:ascii="標楷體" w:eastAsia="標楷體" w:hAnsi="標楷體" w:hint="eastAsia"/>
          <w:sz w:val="28"/>
          <w:szCs w:val="28"/>
        </w:rPr>
        <w:t>七</w:t>
      </w:r>
      <w:r w:rsidRPr="00676B08">
        <w:rPr>
          <w:rFonts w:ascii="標楷體" w:eastAsia="標楷體" w:hAnsi="標楷體" w:hint="eastAsia"/>
          <w:sz w:val="28"/>
          <w:szCs w:val="28"/>
        </w:rPr>
        <w:t>條，摘述要點如下：</w:t>
      </w:r>
    </w:p>
    <w:p w14:paraId="1413C3A2" w14:textId="7D17C7C3" w:rsidR="00742B9C" w:rsidRPr="00676B08" w:rsidRDefault="00742B9C" w:rsidP="00742B9C">
      <w:pPr>
        <w:spacing w:line="440" w:lineRule="exact"/>
        <w:ind w:left="560" w:hangingChars="200" w:hanging="560"/>
        <w:rPr>
          <w:rFonts w:ascii="標楷體" w:eastAsia="標楷體" w:hAnsi="標楷體"/>
          <w:sz w:val="28"/>
          <w:szCs w:val="28"/>
        </w:rPr>
      </w:pPr>
      <w:r w:rsidRPr="00676B08">
        <w:rPr>
          <w:rFonts w:ascii="標楷體" w:eastAsia="標楷體" w:hAnsi="標楷體" w:hint="eastAsia"/>
          <w:sz w:val="28"/>
          <w:szCs w:val="28"/>
        </w:rPr>
        <w:t>一、明定</w:t>
      </w:r>
      <w:r w:rsidRPr="00676B08">
        <w:rPr>
          <w:rFonts w:ascii="Times New Roman" w:eastAsia="標楷體" w:hAnsi="Times New Roman" w:hint="eastAsia"/>
          <w:sz w:val="28"/>
          <w:szCs w:val="28"/>
        </w:rPr>
        <w:t>股票造市者及</w:t>
      </w:r>
      <w:r w:rsidR="00B7769E" w:rsidRPr="00676B08">
        <w:rPr>
          <w:rFonts w:ascii="Times New Roman" w:eastAsia="標楷體" w:hAnsi="Times New Roman" w:hint="eastAsia"/>
          <w:sz w:val="28"/>
          <w:szCs w:val="28"/>
        </w:rPr>
        <w:t>交易獎勵參與者</w:t>
      </w:r>
      <w:r w:rsidRPr="00676B08">
        <w:rPr>
          <w:rFonts w:ascii="Times New Roman" w:eastAsia="標楷體" w:hAnsi="Times New Roman" w:hint="eastAsia"/>
          <w:sz w:val="28"/>
          <w:szCs w:val="28"/>
        </w:rPr>
        <w:t>從事造市業務</w:t>
      </w:r>
      <w:r w:rsidRPr="00676B08">
        <w:rPr>
          <w:rFonts w:ascii="標楷體" w:eastAsia="標楷體" w:hAnsi="標楷體" w:hint="eastAsia"/>
          <w:sz w:val="28"/>
          <w:szCs w:val="28"/>
        </w:rPr>
        <w:t>之依據。(第一條)</w:t>
      </w:r>
    </w:p>
    <w:p w14:paraId="5544CBA2" w14:textId="7C322E96" w:rsidR="00742B9C" w:rsidRPr="00676B08" w:rsidRDefault="00742B9C" w:rsidP="00742B9C">
      <w:pPr>
        <w:spacing w:line="440" w:lineRule="exact"/>
        <w:ind w:left="560" w:hangingChars="200" w:hanging="560"/>
        <w:rPr>
          <w:rFonts w:ascii="標楷體" w:eastAsia="標楷體" w:hAnsi="標楷體"/>
          <w:sz w:val="28"/>
          <w:szCs w:val="28"/>
        </w:rPr>
      </w:pPr>
      <w:r w:rsidRPr="00676B08">
        <w:rPr>
          <w:rFonts w:ascii="標楷體" w:eastAsia="標楷體" w:hAnsi="標楷體" w:hint="eastAsia"/>
          <w:sz w:val="28"/>
          <w:szCs w:val="28"/>
        </w:rPr>
        <w:t>二、明定</w:t>
      </w:r>
      <w:r w:rsidRPr="00676B08">
        <w:rPr>
          <w:rFonts w:ascii="Times New Roman" w:eastAsia="標楷體" w:hAnsi="Times New Roman" w:hint="eastAsia"/>
          <w:sz w:val="28"/>
          <w:szCs w:val="28"/>
        </w:rPr>
        <w:t>股票造市者、</w:t>
      </w:r>
      <w:r w:rsidR="00B7769E" w:rsidRPr="00676B08">
        <w:rPr>
          <w:rFonts w:ascii="Times New Roman" w:eastAsia="標楷體" w:hAnsi="Times New Roman" w:hint="eastAsia"/>
          <w:sz w:val="28"/>
          <w:szCs w:val="28"/>
        </w:rPr>
        <w:t>交易獎勵參與者</w:t>
      </w:r>
      <w:r w:rsidR="00C268FE" w:rsidRPr="00676B08">
        <w:rPr>
          <w:rFonts w:ascii="Times New Roman" w:eastAsia="標楷體" w:hAnsi="Times New Roman" w:hint="eastAsia"/>
          <w:sz w:val="28"/>
          <w:szCs w:val="28"/>
        </w:rPr>
        <w:t>、</w:t>
      </w:r>
      <w:r w:rsidR="00167D7D" w:rsidRPr="00676B08">
        <w:rPr>
          <w:rFonts w:ascii="Times New Roman" w:eastAsia="標楷體" w:hAnsi="Times New Roman" w:hint="eastAsia"/>
          <w:sz w:val="28"/>
          <w:szCs w:val="28"/>
        </w:rPr>
        <w:t>選定股票</w:t>
      </w:r>
      <w:r w:rsidR="00A45667" w:rsidRPr="00676B08">
        <w:rPr>
          <w:rFonts w:ascii="Times New Roman" w:eastAsia="標楷體" w:hAnsi="Times New Roman" w:hint="eastAsia"/>
          <w:sz w:val="28"/>
          <w:szCs w:val="28"/>
        </w:rPr>
        <w:t>及</w:t>
      </w:r>
      <w:r w:rsidR="00167D7D" w:rsidRPr="00676B08">
        <w:rPr>
          <w:rFonts w:ascii="Times New Roman" w:eastAsia="標楷體" w:hAnsi="Times New Roman" w:hint="eastAsia"/>
          <w:sz w:val="28"/>
          <w:szCs w:val="28"/>
        </w:rPr>
        <w:t>特</w:t>
      </w:r>
      <w:r w:rsidR="005F4B76" w:rsidRPr="00676B08">
        <w:rPr>
          <w:rFonts w:ascii="Times New Roman" w:eastAsia="標楷體" w:hAnsi="Times New Roman" w:hint="eastAsia"/>
          <w:sz w:val="28"/>
          <w:szCs w:val="28"/>
        </w:rPr>
        <w:t>定</w:t>
      </w:r>
      <w:r w:rsidR="00AF77CE" w:rsidRPr="00676B08">
        <w:rPr>
          <w:rFonts w:ascii="Times New Roman" w:eastAsia="標楷體" w:hAnsi="Times New Roman" w:hint="eastAsia"/>
          <w:sz w:val="28"/>
          <w:szCs w:val="28"/>
        </w:rPr>
        <w:t>股票</w:t>
      </w:r>
      <w:r w:rsidR="00FC0462" w:rsidRPr="00676B08">
        <w:rPr>
          <w:rFonts w:ascii="Times New Roman" w:eastAsia="標楷體" w:hAnsi="Times New Roman" w:hint="eastAsia"/>
          <w:sz w:val="28"/>
          <w:szCs w:val="28"/>
        </w:rPr>
        <w:t>之</w:t>
      </w:r>
      <w:r w:rsidRPr="00676B08">
        <w:rPr>
          <w:rFonts w:ascii="Times New Roman" w:eastAsia="標楷體" w:hAnsi="Times New Roman" w:hint="eastAsia"/>
          <w:sz w:val="28"/>
          <w:szCs w:val="28"/>
        </w:rPr>
        <w:t>名詞定義</w:t>
      </w:r>
      <w:r w:rsidRPr="00676B08">
        <w:rPr>
          <w:rFonts w:ascii="標楷體" w:eastAsia="標楷體" w:hAnsi="標楷體" w:hint="eastAsia"/>
          <w:sz w:val="28"/>
          <w:szCs w:val="28"/>
        </w:rPr>
        <w:t>。(第二條)</w:t>
      </w:r>
    </w:p>
    <w:p w14:paraId="4B44DF04" w14:textId="19D3ED3F" w:rsidR="00742B9C" w:rsidRPr="00676B08" w:rsidRDefault="00FC0462" w:rsidP="00742B9C">
      <w:pPr>
        <w:spacing w:line="440" w:lineRule="exact"/>
        <w:ind w:left="560" w:hangingChars="200" w:hanging="560"/>
        <w:rPr>
          <w:rFonts w:ascii="標楷體" w:eastAsia="標楷體" w:hAnsi="標楷體"/>
          <w:sz w:val="28"/>
          <w:szCs w:val="28"/>
        </w:rPr>
      </w:pPr>
      <w:r w:rsidRPr="00676B08">
        <w:rPr>
          <w:rFonts w:ascii="標楷體" w:eastAsia="標楷體" w:hAnsi="標楷體" w:hint="eastAsia"/>
          <w:sz w:val="28"/>
          <w:szCs w:val="28"/>
        </w:rPr>
        <w:t>三</w:t>
      </w:r>
      <w:r w:rsidR="00742B9C" w:rsidRPr="00676B08">
        <w:rPr>
          <w:rFonts w:ascii="標楷體" w:eastAsia="標楷體" w:hAnsi="標楷體" w:hint="eastAsia"/>
          <w:sz w:val="28"/>
          <w:szCs w:val="28"/>
        </w:rPr>
        <w:t>、</w:t>
      </w:r>
      <w:r w:rsidR="00E9032D" w:rsidRPr="00676B08">
        <w:rPr>
          <w:rFonts w:ascii="標楷體" w:eastAsia="標楷體" w:hAnsi="標楷體" w:hint="eastAsia"/>
          <w:sz w:val="28"/>
          <w:szCs w:val="28"/>
        </w:rPr>
        <w:t>明定</w:t>
      </w:r>
      <w:r w:rsidR="00E9032D" w:rsidRPr="00676B08">
        <w:rPr>
          <w:rFonts w:ascii="Times New Roman" w:eastAsia="標楷體" w:hAnsi="Times New Roman" w:hint="eastAsia"/>
          <w:snapToGrid w:val="0"/>
          <w:sz w:val="28"/>
          <w:szCs w:val="28"/>
        </w:rPr>
        <w:t>股票造市者及</w:t>
      </w:r>
      <w:r w:rsidR="00B7769E" w:rsidRPr="00676B08">
        <w:rPr>
          <w:rFonts w:ascii="Times New Roman" w:eastAsia="標楷體" w:hAnsi="Times New Roman" w:hint="eastAsia"/>
          <w:snapToGrid w:val="0"/>
          <w:sz w:val="28"/>
          <w:szCs w:val="28"/>
        </w:rPr>
        <w:t>交易獎勵參與者</w:t>
      </w:r>
      <w:r w:rsidR="00E9032D" w:rsidRPr="00676B08">
        <w:rPr>
          <w:rFonts w:ascii="Times New Roman" w:eastAsia="標楷體" w:hAnsi="Times New Roman" w:hint="eastAsia"/>
          <w:snapToGrid w:val="0"/>
          <w:sz w:val="28"/>
          <w:szCs w:val="28"/>
        </w:rPr>
        <w:t>專戶相關規範</w:t>
      </w:r>
      <w:r w:rsidR="00742B9C" w:rsidRPr="00676B08">
        <w:rPr>
          <w:rFonts w:ascii="標楷體" w:eastAsia="標楷體" w:hAnsi="標楷體" w:hint="eastAsia"/>
          <w:sz w:val="28"/>
          <w:szCs w:val="28"/>
        </w:rPr>
        <w:t>。(第</w:t>
      </w:r>
      <w:r w:rsidRPr="00676B08">
        <w:rPr>
          <w:rFonts w:ascii="標楷體" w:eastAsia="標楷體" w:hAnsi="標楷體" w:hint="eastAsia"/>
          <w:sz w:val="28"/>
          <w:szCs w:val="28"/>
        </w:rPr>
        <w:t>三</w:t>
      </w:r>
      <w:r w:rsidR="00742B9C" w:rsidRPr="00676B08">
        <w:rPr>
          <w:rFonts w:ascii="標楷體" w:eastAsia="標楷體" w:hAnsi="標楷體" w:hint="eastAsia"/>
          <w:sz w:val="28"/>
          <w:szCs w:val="28"/>
        </w:rPr>
        <w:t>條)</w:t>
      </w:r>
    </w:p>
    <w:p w14:paraId="2C2C7C23" w14:textId="77777777" w:rsidR="00742B9C" w:rsidRPr="00676B08" w:rsidRDefault="00FC0462" w:rsidP="00742B9C">
      <w:pPr>
        <w:spacing w:line="440" w:lineRule="exact"/>
        <w:ind w:left="560" w:hangingChars="200" w:hanging="560"/>
        <w:rPr>
          <w:rFonts w:ascii="標楷體" w:eastAsia="標楷體" w:hAnsi="標楷體"/>
          <w:sz w:val="28"/>
          <w:szCs w:val="28"/>
        </w:rPr>
      </w:pPr>
      <w:r w:rsidRPr="00676B08">
        <w:rPr>
          <w:rFonts w:ascii="標楷體" w:eastAsia="標楷體" w:hAnsi="標楷體" w:hint="eastAsia"/>
          <w:sz w:val="28"/>
          <w:szCs w:val="28"/>
        </w:rPr>
        <w:t>四</w:t>
      </w:r>
      <w:r w:rsidR="00742B9C" w:rsidRPr="00676B08">
        <w:rPr>
          <w:rFonts w:ascii="標楷體" w:eastAsia="標楷體" w:hAnsi="標楷體" w:hint="eastAsia"/>
          <w:sz w:val="28"/>
          <w:szCs w:val="28"/>
        </w:rPr>
        <w:t>、</w:t>
      </w:r>
      <w:r w:rsidR="00E9032D" w:rsidRPr="00676B08">
        <w:rPr>
          <w:rFonts w:ascii="標楷體" w:eastAsia="標楷體" w:hAnsi="標楷體" w:hint="eastAsia"/>
          <w:sz w:val="28"/>
          <w:szCs w:val="28"/>
        </w:rPr>
        <w:t>明定</w:t>
      </w:r>
      <w:r w:rsidR="00E9032D" w:rsidRPr="00676B08">
        <w:rPr>
          <w:rFonts w:ascii="Times New Roman" w:eastAsia="標楷體" w:hAnsi="Times New Roman" w:hint="eastAsia"/>
          <w:sz w:val="28"/>
          <w:szCs w:val="28"/>
        </w:rPr>
        <w:t>股票造市者應履行報價責任之相關規定</w:t>
      </w:r>
      <w:r w:rsidR="00742B9C" w:rsidRPr="00676B08">
        <w:rPr>
          <w:rFonts w:ascii="標楷體" w:eastAsia="標楷體" w:hAnsi="標楷體" w:hint="eastAsia"/>
          <w:sz w:val="28"/>
          <w:szCs w:val="28"/>
        </w:rPr>
        <w:t>。(第</w:t>
      </w:r>
      <w:r w:rsidRPr="00676B08">
        <w:rPr>
          <w:rFonts w:ascii="標楷體" w:eastAsia="標楷體" w:hAnsi="標楷體" w:hint="eastAsia"/>
          <w:sz w:val="28"/>
          <w:szCs w:val="28"/>
        </w:rPr>
        <w:t>四</w:t>
      </w:r>
      <w:r w:rsidR="00742B9C" w:rsidRPr="00676B08">
        <w:rPr>
          <w:rFonts w:ascii="標楷體" w:eastAsia="標楷體" w:hAnsi="標楷體" w:hint="eastAsia"/>
          <w:sz w:val="28"/>
          <w:szCs w:val="28"/>
        </w:rPr>
        <w:t>條)</w:t>
      </w:r>
    </w:p>
    <w:p w14:paraId="41A322D5" w14:textId="030915E7" w:rsidR="00742B9C" w:rsidRPr="00676B08" w:rsidRDefault="00FC0462" w:rsidP="00742B9C">
      <w:pPr>
        <w:spacing w:line="440" w:lineRule="exact"/>
        <w:ind w:left="560" w:hangingChars="200" w:hanging="560"/>
        <w:rPr>
          <w:rFonts w:ascii="標楷體" w:eastAsia="標楷體" w:hAnsi="標楷體"/>
          <w:sz w:val="28"/>
          <w:szCs w:val="28"/>
        </w:rPr>
      </w:pPr>
      <w:r w:rsidRPr="00676B08">
        <w:rPr>
          <w:rFonts w:ascii="標楷體" w:eastAsia="標楷體" w:hAnsi="標楷體" w:hint="eastAsia"/>
          <w:sz w:val="28"/>
          <w:szCs w:val="28"/>
        </w:rPr>
        <w:t>五</w:t>
      </w:r>
      <w:r w:rsidR="00742B9C" w:rsidRPr="00676B08">
        <w:rPr>
          <w:rFonts w:ascii="標楷體" w:eastAsia="標楷體" w:hAnsi="標楷體" w:hint="eastAsia"/>
          <w:sz w:val="28"/>
          <w:szCs w:val="28"/>
        </w:rPr>
        <w:t>、明定</w:t>
      </w:r>
      <w:r w:rsidR="00C94CD8" w:rsidRPr="00676B08">
        <w:rPr>
          <w:rFonts w:ascii="Times New Roman" w:eastAsia="標楷體" w:hAnsi="Times New Roman" w:hint="eastAsia"/>
          <w:sz w:val="28"/>
          <w:szCs w:val="28"/>
        </w:rPr>
        <w:t>股票造市者</w:t>
      </w:r>
      <w:r w:rsidR="005F4B76" w:rsidRPr="00676B08">
        <w:rPr>
          <w:rFonts w:ascii="Times New Roman" w:eastAsia="標楷體" w:hAnsi="Times New Roman" w:hint="eastAsia"/>
          <w:snapToGrid w:val="0"/>
          <w:sz w:val="28"/>
          <w:szCs w:val="28"/>
        </w:rPr>
        <w:t>及</w:t>
      </w:r>
      <w:r w:rsidR="00B7769E" w:rsidRPr="00676B08">
        <w:rPr>
          <w:rFonts w:ascii="Times New Roman" w:eastAsia="標楷體" w:hAnsi="Times New Roman" w:hint="eastAsia"/>
          <w:snapToGrid w:val="0"/>
          <w:sz w:val="28"/>
          <w:szCs w:val="28"/>
        </w:rPr>
        <w:t>交易獎勵參與者</w:t>
      </w:r>
      <w:r w:rsidR="00C94CD8" w:rsidRPr="00676B08">
        <w:rPr>
          <w:rFonts w:ascii="Times New Roman" w:eastAsia="標楷體" w:hAnsi="Times New Roman" w:hint="eastAsia"/>
          <w:sz w:val="28"/>
          <w:szCs w:val="28"/>
        </w:rPr>
        <w:t>專戶之</w:t>
      </w:r>
      <w:r w:rsidR="000D479C" w:rsidRPr="00676B08">
        <w:rPr>
          <w:rFonts w:ascii="Times New Roman" w:eastAsia="標楷體" w:hAnsi="Times New Roman" w:hint="eastAsia"/>
          <w:sz w:val="28"/>
          <w:szCs w:val="28"/>
        </w:rPr>
        <w:t>給付</w:t>
      </w:r>
      <w:r w:rsidR="00C94CD8" w:rsidRPr="00676B08">
        <w:rPr>
          <w:rFonts w:ascii="Times New Roman" w:eastAsia="標楷體" w:hAnsi="Times New Roman" w:hint="eastAsia"/>
          <w:sz w:val="28"/>
          <w:szCs w:val="28"/>
        </w:rPr>
        <w:t>結算相關規定</w:t>
      </w:r>
      <w:r w:rsidR="00742B9C" w:rsidRPr="00676B08">
        <w:rPr>
          <w:rFonts w:ascii="標楷體" w:eastAsia="標楷體" w:hAnsi="標楷體" w:hint="eastAsia"/>
          <w:sz w:val="28"/>
          <w:szCs w:val="28"/>
        </w:rPr>
        <w:t>。(第</w:t>
      </w:r>
      <w:r w:rsidRPr="00676B08">
        <w:rPr>
          <w:rFonts w:ascii="標楷體" w:eastAsia="標楷體" w:hAnsi="標楷體" w:hint="eastAsia"/>
          <w:sz w:val="28"/>
          <w:szCs w:val="28"/>
        </w:rPr>
        <w:t>五</w:t>
      </w:r>
      <w:r w:rsidR="00742B9C" w:rsidRPr="00676B08">
        <w:rPr>
          <w:rFonts w:ascii="標楷體" w:eastAsia="標楷體" w:hAnsi="標楷體" w:hint="eastAsia"/>
          <w:sz w:val="28"/>
          <w:szCs w:val="28"/>
        </w:rPr>
        <w:t>條)</w:t>
      </w:r>
    </w:p>
    <w:p w14:paraId="2A7C103C" w14:textId="42C9C04E" w:rsidR="00742B9C" w:rsidRPr="00676B08" w:rsidRDefault="00FC0462" w:rsidP="00C94CD8">
      <w:pPr>
        <w:spacing w:line="440" w:lineRule="exact"/>
        <w:ind w:left="560" w:hangingChars="200" w:hanging="560"/>
        <w:rPr>
          <w:rFonts w:ascii="標楷體" w:eastAsia="標楷體" w:hAnsi="標楷體"/>
          <w:sz w:val="28"/>
          <w:szCs w:val="28"/>
        </w:rPr>
      </w:pPr>
      <w:r w:rsidRPr="00676B08">
        <w:rPr>
          <w:rFonts w:ascii="標楷體" w:eastAsia="標楷體" w:hAnsi="標楷體" w:hint="eastAsia"/>
          <w:sz w:val="28"/>
          <w:szCs w:val="28"/>
        </w:rPr>
        <w:t>六</w:t>
      </w:r>
      <w:r w:rsidR="00742B9C" w:rsidRPr="00676B08">
        <w:rPr>
          <w:rFonts w:ascii="標楷體" w:eastAsia="標楷體" w:hAnsi="標楷體" w:hint="eastAsia"/>
          <w:sz w:val="28"/>
          <w:szCs w:val="28"/>
        </w:rPr>
        <w:t>、明定</w:t>
      </w:r>
      <w:r w:rsidR="00C94CD8" w:rsidRPr="00676B08">
        <w:rPr>
          <w:rFonts w:ascii="Times New Roman" w:eastAsia="標楷體" w:hAnsi="Times New Roman" w:hint="eastAsia"/>
          <w:sz w:val="28"/>
          <w:szCs w:val="28"/>
        </w:rPr>
        <w:t>股票造市</w:t>
      </w:r>
      <w:r w:rsidR="00C94CD8" w:rsidRPr="00676B08">
        <w:rPr>
          <w:rFonts w:ascii="Times New Roman" w:eastAsia="標楷體" w:hAnsi="Times New Roman"/>
          <w:sz w:val="28"/>
          <w:szCs w:val="28"/>
        </w:rPr>
        <w:t>者</w:t>
      </w:r>
      <w:r w:rsidR="00C94CD8" w:rsidRPr="00676B08">
        <w:rPr>
          <w:rFonts w:ascii="Times New Roman" w:eastAsia="標楷體" w:hAnsi="Times New Roman" w:hint="eastAsia"/>
          <w:sz w:val="28"/>
          <w:szCs w:val="28"/>
        </w:rPr>
        <w:t>及</w:t>
      </w:r>
      <w:r w:rsidR="00B7769E" w:rsidRPr="00676B08">
        <w:rPr>
          <w:rFonts w:ascii="Times New Roman" w:eastAsia="標楷體" w:hAnsi="Times New Roman" w:hint="eastAsia"/>
          <w:sz w:val="28"/>
          <w:szCs w:val="28"/>
        </w:rPr>
        <w:t>交易獎勵參與者</w:t>
      </w:r>
      <w:r w:rsidR="00C17B7D" w:rsidRPr="00676B08">
        <w:rPr>
          <w:rFonts w:ascii="Times New Roman" w:eastAsia="標楷體" w:hAnsi="Times New Roman" w:hint="eastAsia"/>
          <w:sz w:val="28"/>
          <w:szCs w:val="28"/>
        </w:rPr>
        <w:t>業務服務</w:t>
      </w:r>
      <w:r w:rsidR="00C94CD8" w:rsidRPr="00676B08">
        <w:rPr>
          <w:rFonts w:ascii="Times New Roman" w:eastAsia="標楷體" w:hAnsi="Times New Roman" w:hint="eastAsia"/>
          <w:sz w:val="28"/>
          <w:szCs w:val="28"/>
        </w:rPr>
        <w:t>費折讓之依據</w:t>
      </w:r>
      <w:r w:rsidR="00742B9C" w:rsidRPr="00676B08">
        <w:rPr>
          <w:rFonts w:ascii="標楷體" w:eastAsia="標楷體" w:hAnsi="標楷體" w:hint="eastAsia"/>
          <w:sz w:val="28"/>
          <w:szCs w:val="28"/>
        </w:rPr>
        <w:t>。(第</w:t>
      </w:r>
      <w:r w:rsidRPr="00676B08">
        <w:rPr>
          <w:rFonts w:ascii="標楷體" w:eastAsia="標楷體" w:hAnsi="標楷體" w:hint="eastAsia"/>
          <w:sz w:val="28"/>
          <w:szCs w:val="28"/>
        </w:rPr>
        <w:t>六</w:t>
      </w:r>
      <w:r w:rsidR="00742B9C" w:rsidRPr="00676B08">
        <w:rPr>
          <w:rFonts w:ascii="標楷體" w:eastAsia="標楷體" w:hAnsi="標楷體" w:hint="eastAsia"/>
          <w:sz w:val="28"/>
          <w:szCs w:val="28"/>
        </w:rPr>
        <w:t>條)</w:t>
      </w:r>
    </w:p>
    <w:p w14:paraId="748792E1" w14:textId="77777777" w:rsidR="00742B9C" w:rsidRPr="00676B08" w:rsidRDefault="00FC0462" w:rsidP="00C94CD8">
      <w:pPr>
        <w:spacing w:line="440" w:lineRule="exact"/>
        <w:ind w:left="560" w:hangingChars="200" w:hanging="560"/>
        <w:rPr>
          <w:rFonts w:ascii="Times New Roman" w:eastAsia="標楷體" w:hAnsi="Times New Roman"/>
          <w:b/>
          <w:sz w:val="28"/>
          <w:szCs w:val="28"/>
        </w:rPr>
        <w:sectPr w:rsidR="00742B9C" w:rsidRPr="00676B08" w:rsidSect="00692646">
          <w:footerReference w:type="default" r:id="rId6"/>
          <w:pgSz w:w="11906" w:h="16838"/>
          <w:pgMar w:top="1440" w:right="1800" w:bottom="1440" w:left="1800" w:header="851" w:footer="992" w:gutter="0"/>
          <w:cols w:space="425"/>
          <w:docGrid w:type="lines" w:linePitch="360"/>
        </w:sectPr>
      </w:pPr>
      <w:r w:rsidRPr="00676B08">
        <w:rPr>
          <w:rFonts w:ascii="標楷體" w:eastAsia="標楷體" w:hAnsi="標楷體" w:hint="eastAsia"/>
          <w:sz w:val="28"/>
          <w:szCs w:val="28"/>
        </w:rPr>
        <w:t>七</w:t>
      </w:r>
      <w:r w:rsidR="00742B9C" w:rsidRPr="00676B08">
        <w:rPr>
          <w:rFonts w:ascii="標楷體" w:eastAsia="標楷體" w:hAnsi="標楷體" w:hint="eastAsia"/>
          <w:sz w:val="28"/>
          <w:szCs w:val="28"/>
        </w:rPr>
        <w:t>、明定本辦法於修訂時，須經主管機關備查後方得實施。(</w:t>
      </w:r>
      <w:r w:rsidR="00C94CD8" w:rsidRPr="00676B08">
        <w:rPr>
          <w:rFonts w:ascii="標楷體" w:eastAsia="標楷體" w:hAnsi="標楷體" w:hint="eastAsia"/>
          <w:sz w:val="28"/>
          <w:szCs w:val="28"/>
        </w:rPr>
        <w:t>第</w:t>
      </w:r>
      <w:r w:rsidRPr="00676B08">
        <w:rPr>
          <w:rFonts w:ascii="標楷體" w:eastAsia="標楷體" w:hAnsi="標楷體" w:hint="eastAsia"/>
          <w:sz w:val="28"/>
          <w:szCs w:val="28"/>
        </w:rPr>
        <w:t>七</w:t>
      </w:r>
      <w:r w:rsidR="00742B9C" w:rsidRPr="00676B08">
        <w:rPr>
          <w:rFonts w:ascii="標楷體" w:eastAsia="標楷體" w:hAnsi="標楷體" w:hint="eastAsia"/>
          <w:sz w:val="28"/>
          <w:szCs w:val="28"/>
        </w:rPr>
        <w:t>條)</w:t>
      </w:r>
    </w:p>
    <w:p w14:paraId="101AADB7" w14:textId="5535076C" w:rsidR="003C0D7B" w:rsidRPr="00676B08" w:rsidRDefault="00BF1C1F" w:rsidP="003C0D7B">
      <w:pPr>
        <w:spacing w:line="400" w:lineRule="exact"/>
        <w:jc w:val="center"/>
        <w:rPr>
          <w:rFonts w:ascii="Times New Roman" w:eastAsia="標楷體" w:hAnsi="Times New Roman"/>
          <w:b/>
          <w:sz w:val="31"/>
          <w:szCs w:val="31"/>
        </w:rPr>
      </w:pPr>
      <w:r w:rsidRPr="00676B08">
        <w:rPr>
          <w:rFonts w:ascii="Times New Roman" w:eastAsia="標楷體" w:hAnsi="Times New Roman" w:hint="eastAsia"/>
          <w:b/>
          <w:sz w:val="31"/>
          <w:szCs w:val="31"/>
        </w:rPr>
        <w:lastRenderedPageBreak/>
        <w:t>財團法人中華民國證券櫃檯買賣中心</w:t>
      </w:r>
      <w:r w:rsidR="00CF5196" w:rsidRPr="00676B08">
        <w:rPr>
          <w:rFonts w:ascii="Times New Roman" w:eastAsia="標楷體" w:hAnsi="Times New Roman" w:hint="eastAsia"/>
          <w:b/>
          <w:sz w:val="31"/>
          <w:szCs w:val="31"/>
        </w:rPr>
        <w:t>股票造市</w:t>
      </w:r>
      <w:r w:rsidR="003C0D7B" w:rsidRPr="00676B08">
        <w:rPr>
          <w:rFonts w:ascii="Times New Roman" w:eastAsia="標楷體" w:hAnsi="Times New Roman"/>
          <w:b/>
          <w:sz w:val="31"/>
          <w:szCs w:val="31"/>
        </w:rPr>
        <w:t>者</w:t>
      </w:r>
      <w:r w:rsidR="00A37D0C" w:rsidRPr="00676B08">
        <w:rPr>
          <w:rFonts w:ascii="Times New Roman" w:eastAsia="標楷體" w:hAnsi="Times New Roman" w:hint="eastAsia"/>
          <w:b/>
          <w:sz w:val="31"/>
          <w:szCs w:val="31"/>
        </w:rPr>
        <w:t>及</w:t>
      </w:r>
      <w:r w:rsidR="00B7769E" w:rsidRPr="00676B08">
        <w:rPr>
          <w:rFonts w:ascii="Times New Roman" w:eastAsia="標楷體" w:hAnsi="Times New Roman" w:hint="eastAsia"/>
          <w:b/>
          <w:sz w:val="31"/>
          <w:szCs w:val="31"/>
        </w:rPr>
        <w:t>交易獎勵參與者</w:t>
      </w:r>
      <w:r w:rsidR="00FB0E71" w:rsidRPr="00676B08">
        <w:rPr>
          <w:rFonts w:ascii="Times New Roman" w:eastAsia="標楷體" w:hAnsi="Times New Roman"/>
          <w:b/>
          <w:sz w:val="31"/>
          <w:szCs w:val="31"/>
        </w:rPr>
        <w:t>作業</w:t>
      </w:r>
      <w:r w:rsidR="00FB0E71" w:rsidRPr="00676B08">
        <w:rPr>
          <w:rFonts w:ascii="Times New Roman" w:eastAsia="標楷體" w:hAnsi="Times New Roman" w:hint="eastAsia"/>
          <w:b/>
          <w:sz w:val="31"/>
          <w:szCs w:val="31"/>
        </w:rPr>
        <w:t>辦法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086317" w:rsidRPr="00676B08" w14:paraId="27A42074" w14:textId="77777777" w:rsidTr="00086317">
        <w:trPr>
          <w:tblHeader/>
        </w:trPr>
        <w:tc>
          <w:tcPr>
            <w:tcW w:w="2500" w:type="pct"/>
            <w:tcBorders>
              <w:bottom w:val="single" w:sz="4" w:space="0" w:color="auto"/>
            </w:tcBorders>
          </w:tcPr>
          <w:p w14:paraId="6A86EF37" w14:textId="77777777" w:rsidR="00086317" w:rsidRPr="00676B08" w:rsidRDefault="00086317" w:rsidP="00E74445">
            <w:pPr>
              <w:spacing w:line="0" w:lineRule="atLeast"/>
              <w:jc w:val="center"/>
              <w:rPr>
                <w:rFonts w:ascii="Times New Roman" w:eastAsia="標楷體" w:hAnsi="Times New Roman"/>
                <w:sz w:val="28"/>
                <w:szCs w:val="28"/>
              </w:rPr>
            </w:pPr>
            <w:r w:rsidRPr="00676B08">
              <w:rPr>
                <w:rFonts w:ascii="Times New Roman" w:eastAsia="標楷體" w:hAnsi="Times New Roman"/>
                <w:sz w:val="28"/>
                <w:szCs w:val="28"/>
              </w:rPr>
              <w:t>條文</w:t>
            </w:r>
          </w:p>
        </w:tc>
        <w:tc>
          <w:tcPr>
            <w:tcW w:w="2500" w:type="pct"/>
            <w:tcBorders>
              <w:bottom w:val="single" w:sz="4" w:space="0" w:color="auto"/>
            </w:tcBorders>
          </w:tcPr>
          <w:p w14:paraId="5593F17D" w14:textId="77777777" w:rsidR="00086317" w:rsidRPr="00676B08" w:rsidRDefault="00086317" w:rsidP="00E74445">
            <w:pPr>
              <w:spacing w:line="0" w:lineRule="atLeast"/>
              <w:jc w:val="center"/>
              <w:rPr>
                <w:rFonts w:ascii="Times New Roman" w:eastAsia="標楷體" w:hAnsi="Times New Roman"/>
                <w:sz w:val="28"/>
                <w:szCs w:val="28"/>
              </w:rPr>
            </w:pPr>
            <w:r w:rsidRPr="00676B08">
              <w:rPr>
                <w:rFonts w:ascii="Times New Roman" w:eastAsia="標楷體" w:hAnsi="Times New Roman"/>
                <w:sz w:val="28"/>
                <w:szCs w:val="28"/>
              </w:rPr>
              <w:t>說明</w:t>
            </w:r>
          </w:p>
        </w:tc>
      </w:tr>
      <w:tr w:rsidR="00232EA0" w:rsidRPr="00676B08" w14:paraId="5007D417" w14:textId="77777777" w:rsidTr="00086317">
        <w:tc>
          <w:tcPr>
            <w:tcW w:w="2500" w:type="pct"/>
          </w:tcPr>
          <w:p w14:paraId="65FA7D6B" w14:textId="77777777" w:rsidR="00232EA0" w:rsidRPr="00676B08" w:rsidRDefault="00232EA0" w:rsidP="00EC1ED4">
            <w:pPr>
              <w:spacing w:line="0" w:lineRule="atLeast"/>
              <w:ind w:left="560" w:hangingChars="200" w:hanging="560"/>
              <w:jc w:val="both"/>
              <w:rPr>
                <w:rFonts w:ascii="Times New Roman" w:eastAsia="標楷體" w:hAnsi="Times New Roman"/>
                <w:sz w:val="28"/>
                <w:szCs w:val="28"/>
              </w:rPr>
            </w:pPr>
            <w:r w:rsidRPr="00676B08">
              <w:rPr>
                <w:rFonts w:ascii="Times New Roman" w:eastAsia="標楷體" w:hAnsi="Times New Roman" w:hint="eastAsia"/>
                <w:sz w:val="28"/>
                <w:szCs w:val="28"/>
              </w:rPr>
              <w:t>第一條</w:t>
            </w:r>
          </w:p>
          <w:p w14:paraId="1A22C3C0" w14:textId="54F1C813" w:rsidR="00232EA0" w:rsidRPr="00676B08" w:rsidRDefault="00232EA0" w:rsidP="00EC1ED4">
            <w:pPr>
              <w:spacing w:line="0" w:lineRule="atLeast"/>
              <w:ind w:firstLineChars="200" w:firstLine="560"/>
              <w:jc w:val="both"/>
              <w:rPr>
                <w:rFonts w:ascii="Times New Roman" w:eastAsia="標楷體" w:hAnsi="Times New Roman"/>
                <w:sz w:val="28"/>
                <w:szCs w:val="28"/>
              </w:rPr>
            </w:pPr>
            <w:r w:rsidRPr="00676B08">
              <w:rPr>
                <w:rFonts w:ascii="Times New Roman" w:eastAsia="標楷體" w:hAnsi="Times New Roman" w:hint="eastAsia"/>
                <w:sz w:val="28"/>
                <w:szCs w:val="28"/>
              </w:rPr>
              <w:t>為提</w:t>
            </w:r>
            <w:r w:rsidRPr="00676B08">
              <w:rPr>
                <w:rFonts w:ascii="標楷體" w:eastAsia="標楷體" w:hAnsi="標楷體" w:hint="eastAsia"/>
                <w:sz w:val="28"/>
                <w:szCs w:val="28"/>
              </w:rPr>
              <w:t>升</w:t>
            </w:r>
            <w:r w:rsidRPr="00676B08">
              <w:rPr>
                <w:rFonts w:ascii="Times New Roman" w:eastAsia="標楷體" w:hAnsi="Times New Roman" w:hint="eastAsia"/>
                <w:sz w:val="28"/>
                <w:szCs w:val="28"/>
              </w:rPr>
              <w:t>上櫃股票市場之流動性，並使股票造市者及</w:t>
            </w:r>
            <w:r w:rsidR="00B7769E" w:rsidRPr="00676B08">
              <w:rPr>
                <w:rFonts w:ascii="Times New Roman" w:eastAsia="標楷體" w:hAnsi="Times New Roman" w:hint="eastAsia"/>
                <w:sz w:val="28"/>
                <w:szCs w:val="28"/>
              </w:rPr>
              <w:t>交易獎勵參與者</w:t>
            </w:r>
            <w:r w:rsidRPr="00676B08">
              <w:rPr>
                <w:rFonts w:ascii="Times New Roman" w:eastAsia="標楷體" w:hAnsi="Times New Roman" w:hint="eastAsia"/>
                <w:sz w:val="28"/>
                <w:szCs w:val="28"/>
              </w:rPr>
              <w:t>從事造市業務有所依循，特訂定本辦法。</w:t>
            </w:r>
          </w:p>
        </w:tc>
        <w:tc>
          <w:tcPr>
            <w:tcW w:w="2500" w:type="pct"/>
          </w:tcPr>
          <w:p w14:paraId="42BC61FC" w14:textId="574C1A1B" w:rsidR="00232EA0" w:rsidRPr="00676B08" w:rsidRDefault="00755EB5" w:rsidP="00EC1ED4">
            <w:pPr>
              <w:spacing w:line="0" w:lineRule="atLeast"/>
              <w:jc w:val="both"/>
              <w:rPr>
                <w:rFonts w:ascii="Times New Roman" w:eastAsia="標楷體" w:hAnsi="Times New Roman"/>
                <w:sz w:val="28"/>
                <w:szCs w:val="28"/>
              </w:rPr>
            </w:pPr>
            <w:r w:rsidRPr="00676B08">
              <w:rPr>
                <w:rFonts w:ascii="標楷體" w:eastAsia="標楷體" w:hAnsi="標楷體" w:hint="eastAsia"/>
                <w:sz w:val="28"/>
                <w:szCs w:val="28"/>
              </w:rPr>
              <w:t>明定</w:t>
            </w:r>
            <w:r w:rsidR="00232EA0" w:rsidRPr="00676B08">
              <w:rPr>
                <w:rFonts w:ascii="Times New Roman" w:eastAsia="標楷體" w:hAnsi="Times New Roman" w:hint="eastAsia"/>
                <w:sz w:val="28"/>
                <w:szCs w:val="28"/>
              </w:rPr>
              <w:t>本辦法之訂定緣由。</w:t>
            </w:r>
          </w:p>
        </w:tc>
      </w:tr>
      <w:tr w:rsidR="00232EA0" w:rsidRPr="00676B08" w14:paraId="5F00A714" w14:textId="77777777" w:rsidTr="00086317">
        <w:tc>
          <w:tcPr>
            <w:tcW w:w="2500" w:type="pct"/>
          </w:tcPr>
          <w:p w14:paraId="7E876AB6" w14:textId="77777777" w:rsidR="00232EA0" w:rsidRPr="00676B08" w:rsidRDefault="00232EA0" w:rsidP="00EC1ED4">
            <w:pPr>
              <w:spacing w:line="0" w:lineRule="atLeast"/>
              <w:ind w:leftChars="1" w:left="562" w:hangingChars="200" w:hanging="560"/>
              <w:jc w:val="both"/>
              <w:rPr>
                <w:rFonts w:ascii="Times New Roman" w:eastAsia="標楷體" w:hAnsi="Times New Roman"/>
                <w:sz w:val="28"/>
                <w:szCs w:val="28"/>
              </w:rPr>
            </w:pPr>
            <w:r w:rsidRPr="00676B08">
              <w:rPr>
                <w:rFonts w:ascii="Times New Roman" w:eastAsia="標楷體" w:hAnsi="Times New Roman" w:hint="eastAsia"/>
                <w:sz w:val="28"/>
                <w:szCs w:val="28"/>
              </w:rPr>
              <w:t>第二條</w:t>
            </w:r>
          </w:p>
          <w:p w14:paraId="2C15B8D0" w14:textId="4607F0F2" w:rsidR="00232EA0" w:rsidRPr="00676B08" w:rsidRDefault="00232EA0" w:rsidP="00EC1ED4">
            <w:pPr>
              <w:spacing w:line="0" w:lineRule="atLeast"/>
              <w:ind w:firstLineChars="200" w:firstLine="560"/>
              <w:jc w:val="both"/>
              <w:rPr>
                <w:rFonts w:ascii="Times New Roman" w:eastAsia="標楷體" w:hAnsi="Times New Roman"/>
                <w:sz w:val="28"/>
                <w:szCs w:val="28"/>
              </w:rPr>
            </w:pPr>
            <w:r w:rsidRPr="00676B08">
              <w:rPr>
                <w:rFonts w:ascii="Times New Roman" w:eastAsia="標楷體" w:hAnsi="Times New Roman" w:hint="eastAsia"/>
                <w:sz w:val="28"/>
                <w:szCs w:val="28"/>
              </w:rPr>
              <w:t>本辦法所稱股票造市者，係指向</w:t>
            </w:r>
            <w:r w:rsidR="00092C3D" w:rsidRPr="00676B08">
              <w:rPr>
                <w:rFonts w:ascii="Times New Roman" w:eastAsia="標楷體" w:hAnsi="Times New Roman" w:hint="eastAsia"/>
                <w:sz w:val="28"/>
                <w:szCs w:val="28"/>
              </w:rPr>
              <w:t>財團法人中華民國證券櫃檯買賣中心</w:t>
            </w:r>
            <w:r w:rsidR="00092C3D" w:rsidRPr="00676B08">
              <w:rPr>
                <w:rFonts w:ascii="Times New Roman" w:eastAsia="標楷體" w:hAnsi="Times New Roman" w:hint="eastAsia"/>
                <w:sz w:val="28"/>
                <w:szCs w:val="28"/>
              </w:rPr>
              <w:t>(</w:t>
            </w:r>
            <w:r w:rsidR="00092C3D" w:rsidRPr="00676B08">
              <w:rPr>
                <w:rFonts w:ascii="Times New Roman" w:eastAsia="標楷體" w:hAnsi="Times New Roman" w:hint="eastAsia"/>
                <w:sz w:val="28"/>
                <w:szCs w:val="28"/>
              </w:rPr>
              <w:t>以下簡稱</w:t>
            </w:r>
            <w:r w:rsidRPr="00676B08">
              <w:rPr>
                <w:rFonts w:ascii="Times New Roman" w:eastAsia="標楷體" w:hAnsi="Times New Roman" w:hint="eastAsia"/>
                <w:sz w:val="28"/>
                <w:szCs w:val="28"/>
              </w:rPr>
              <w:t>本中心</w:t>
            </w:r>
            <w:r w:rsidR="00092C3D" w:rsidRPr="00676B08">
              <w:rPr>
                <w:rFonts w:ascii="Times New Roman" w:eastAsia="標楷體" w:hAnsi="Times New Roman" w:hint="eastAsia"/>
                <w:sz w:val="28"/>
                <w:szCs w:val="28"/>
              </w:rPr>
              <w:t>)</w:t>
            </w:r>
            <w:r w:rsidRPr="00676B08">
              <w:rPr>
                <w:rFonts w:ascii="Times New Roman" w:eastAsia="標楷體" w:hAnsi="Times New Roman" w:hint="eastAsia"/>
                <w:sz w:val="28"/>
                <w:szCs w:val="28"/>
              </w:rPr>
              <w:t>申請於指定時間內對選定上櫃股票提供買賣報價之證券自營商，其選定上櫃股票應包含一定數量之特定上櫃股票。</w:t>
            </w:r>
          </w:p>
          <w:p w14:paraId="585FD54F" w14:textId="2DEF6665" w:rsidR="00232EA0" w:rsidRPr="00676B08" w:rsidRDefault="00232EA0" w:rsidP="00EC1ED4">
            <w:pPr>
              <w:spacing w:line="0" w:lineRule="atLeast"/>
              <w:ind w:firstLineChars="200" w:firstLine="560"/>
              <w:jc w:val="both"/>
              <w:rPr>
                <w:rFonts w:ascii="Times New Roman" w:eastAsia="標楷體" w:hAnsi="Times New Roman"/>
                <w:sz w:val="28"/>
                <w:szCs w:val="28"/>
              </w:rPr>
            </w:pPr>
            <w:r w:rsidRPr="00676B08">
              <w:rPr>
                <w:rFonts w:ascii="Times New Roman" w:eastAsia="標楷體" w:hAnsi="Times New Roman" w:hint="eastAsia"/>
                <w:sz w:val="28"/>
                <w:szCs w:val="28"/>
              </w:rPr>
              <w:t>本辦法所稱</w:t>
            </w:r>
            <w:r w:rsidR="00B7769E" w:rsidRPr="00676B08">
              <w:rPr>
                <w:rFonts w:ascii="Times New Roman" w:eastAsia="標楷體" w:hAnsi="Times New Roman" w:hint="eastAsia"/>
                <w:sz w:val="28"/>
                <w:szCs w:val="28"/>
              </w:rPr>
              <w:t>交易獎勵參與者</w:t>
            </w:r>
            <w:r w:rsidRPr="00676B08">
              <w:rPr>
                <w:rFonts w:ascii="Times New Roman" w:eastAsia="標楷體" w:hAnsi="Times New Roman" w:hint="eastAsia"/>
                <w:sz w:val="28"/>
                <w:szCs w:val="28"/>
              </w:rPr>
              <w:t>，係指向本中心申請於指定時間內對</w:t>
            </w:r>
            <w:r w:rsidR="00092C3D" w:rsidRPr="00676B08">
              <w:rPr>
                <w:rFonts w:ascii="Times New Roman" w:eastAsia="標楷體" w:hAnsi="Times New Roman" w:hint="eastAsia"/>
                <w:sz w:val="28"/>
                <w:szCs w:val="28"/>
              </w:rPr>
              <w:t>其</w:t>
            </w:r>
            <w:r w:rsidRPr="00676B08">
              <w:rPr>
                <w:rFonts w:ascii="Times New Roman" w:eastAsia="標楷體" w:hAnsi="Times New Roman" w:hint="eastAsia"/>
                <w:sz w:val="28"/>
                <w:szCs w:val="28"/>
              </w:rPr>
              <w:t>選定之特定上櫃股票參與交易之證券自營商。</w:t>
            </w:r>
          </w:p>
          <w:p w14:paraId="6F87180E" w14:textId="053AF21C" w:rsidR="00232EA0" w:rsidRPr="00676B08" w:rsidRDefault="00232EA0" w:rsidP="00EC1ED4">
            <w:pPr>
              <w:spacing w:line="0" w:lineRule="atLeast"/>
              <w:ind w:firstLineChars="200" w:firstLine="560"/>
              <w:jc w:val="both"/>
              <w:rPr>
                <w:rFonts w:ascii="Times New Roman" w:eastAsia="標楷體" w:hAnsi="Times New Roman"/>
                <w:sz w:val="28"/>
                <w:szCs w:val="28"/>
              </w:rPr>
            </w:pPr>
            <w:r w:rsidRPr="00676B08">
              <w:rPr>
                <w:rFonts w:ascii="Times New Roman" w:eastAsia="標楷體" w:hAnsi="Times New Roman" w:hint="eastAsia"/>
                <w:sz w:val="28"/>
                <w:szCs w:val="28"/>
              </w:rPr>
              <w:t>本辦法所稱選定上櫃股票，係指股票造市者或</w:t>
            </w:r>
            <w:r w:rsidR="00B7769E" w:rsidRPr="00676B08">
              <w:rPr>
                <w:rFonts w:ascii="Times New Roman" w:eastAsia="標楷體" w:hAnsi="Times New Roman" w:hint="eastAsia"/>
                <w:sz w:val="28"/>
                <w:szCs w:val="28"/>
              </w:rPr>
              <w:t>交易獎勵參與者</w:t>
            </w:r>
            <w:r w:rsidRPr="00676B08">
              <w:rPr>
                <w:rFonts w:ascii="Times New Roman" w:eastAsia="標楷體" w:hAnsi="Times New Roman" w:hint="eastAsia"/>
                <w:sz w:val="28"/>
                <w:szCs w:val="28"/>
              </w:rPr>
              <w:t>依本中心指定方式所選定提供買賣報價或參與交易之上櫃股票。</w:t>
            </w:r>
          </w:p>
          <w:p w14:paraId="09BDE285" w14:textId="2CB2C18E" w:rsidR="00232EA0" w:rsidRPr="00676B08" w:rsidRDefault="00232EA0" w:rsidP="00EC1ED4">
            <w:pPr>
              <w:spacing w:line="0" w:lineRule="atLeast"/>
              <w:ind w:firstLineChars="200" w:firstLine="560"/>
              <w:jc w:val="both"/>
              <w:rPr>
                <w:rFonts w:ascii="Times New Roman" w:eastAsia="標楷體" w:hAnsi="Times New Roman"/>
                <w:sz w:val="28"/>
                <w:szCs w:val="28"/>
              </w:rPr>
            </w:pPr>
            <w:r w:rsidRPr="00676B08">
              <w:rPr>
                <w:rFonts w:ascii="Times New Roman" w:eastAsia="標楷體" w:hAnsi="Times New Roman" w:hint="eastAsia"/>
                <w:sz w:val="28"/>
                <w:szCs w:val="28"/>
              </w:rPr>
              <w:t>本辦法所稱特定上櫃股票，係指經本中心依發行面及交易面指標篩選，且無其他本中心認為不宜選入之上櫃股票。</w:t>
            </w:r>
          </w:p>
        </w:tc>
        <w:tc>
          <w:tcPr>
            <w:tcW w:w="2500" w:type="pct"/>
          </w:tcPr>
          <w:p w14:paraId="54A7BEF0" w14:textId="1D72E4EC" w:rsidR="00232EA0" w:rsidRPr="00676B08" w:rsidRDefault="00232EA0" w:rsidP="00EC1ED4">
            <w:pPr>
              <w:spacing w:line="0" w:lineRule="atLeast"/>
              <w:ind w:left="567" w:hanging="567"/>
              <w:jc w:val="both"/>
              <w:rPr>
                <w:rFonts w:ascii="Times New Roman" w:eastAsia="標楷體" w:hAnsi="Times New Roman"/>
                <w:sz w:val="28"/>
                <w:szCs w:val="28"/>
              </w:rPr>
            </w:pPr>
            <w:r w:rsidRPr="00676B08">
              <w:rPr>
                <w:rFonts w:ascii="Times New Roman" w:eastAsia="標楷體" w:hAnsi="Times New Roman" w:hint="eastAsia"/>
                <w:sz w:val="28"/>
                <w:szCs w:val="28"/>
              </w:rPr>
              <w:t>一、國際市場為增加股市成交量及流動性，多有採行股票造市制度，以造市者（</w:t>
            </w:r>
            <w:r w:rsidRPr="00676B08">
              <w:rPr>
                <w:rFonts w:ascii="Times New Roman" w:eastAsia="標楷體" w:hAnsi="Times New Roman"/>
                <w:sz w:val="28"/>
                <w:szCs w:val="28"/>
              </w:rPr>
              <w:t>Market maker</w:t>
            </w:r>
            <w:r w:rsidRPr="00676B08">
              <w:rPr>
                <w:rFonts w:ascii="Times New Roman" w:eastAsia="標楷體" w:hAnsi="Times New Roman" w:hint="eastAsia"/>
                <w:sz w:val="28"/>
                <w:szCs w:val="28"/>
              </w:rPr>
              <w:t>）提供買賣報價及</w:t>
            </w:r>
            <w:r w:rsidR="00B7769E" w:rsidRPr="00676B08">
              <w:rPr>
                <w:rFonts w:ascii="Times New Roman" w:eastAsia="標楷體" w:hAnsi="Times New Roman" w:hint="eastAsia"/>
                <w:sz w:val="28"/>
                <w:szCs w:val="28"/>
              </w:rPr>
              <w:t>交易獎勵參與者</w:t>
            </w:r>
            <w:r w:rsidRPr="00676B08">
              <w:rPr>
                <w:rFonts w:ascii="Times New Roman" w:eastAsia="標楷體" w:hAnsi="Times New Roman" w:hint="eastAsia"/>
                <w:sz w:val="28"/>
                <w:szCs w:val="28"/>
              </w:rPr>
              <w:t>（</w:t>
            </w:r>
            <w:r w:rsidRPr="00676B08">
              <w:rPr>
                <w:rFonts w:ascii="Times New Roman" w:eastAsia="標楷體" w:hAnsi="Times New Roman" w:hint="eastAsia"/>
                <w:sz w:val="28"/>
                <w:szCs w:val="28"/>
              </w:rPr>
              <w:t>L</w:t>
            </w:r>
            <w:r w:rsidRPr="00676B08">
              <w:rPr>
                <w:rFonts w:ascii="Times New Roman" w:eastAsia="標楷體" w:hAnsi="Times New Roman"/>
                <w:sz w:val="28"/>
                <w:szCs w:val="28"/>
              </w:rPr>
              <w:t>iquidity provider</w:t>
            </w:r>
            <w:r w:rsidRPr="00676B08">
              <w:rPr>
                <w:rFonts w:ascii="Times New Roman" w:eastAsia="標楷體" w:hAnsi="Times New Roman" w:hint="eastAsia"/>
                <w:sz w:val="28"/>
                <w:szCs w:val="28"/>
              </w:rPr>
              <w:t>）積極參與交易之方式提高個股流動性。</w:t>
            </w:r>
          </w:p>
          <w:p w14:paraId="4254E6FD" w14:textId="06804E13" w:rsidR="00232EA0" w:rsidRPr="00676B08" w:rsidRDefault="00232EA0" w:rsidP="00EC1ED4">
            <w:pPr>
              <w:spacing w:line="0" w:lineRule="atLeast"/>
              <w:ind w:left="567" w:hanging="567"/>
              <w:jc w:val="both"/>
              <w:rPr>
                <w:rFonts w:ascii="Times New Roman" w:eastAsia="標楷體" w:hAnsi="Times New Roman"/>
                <w:sz w:val="28"/>
                <w:szCs w:val="28"/>
              </w:rPr>
            </w:pPr>
            <w:r w:rsidRPr="00676B08">
              <w:rPr>
                <w:rFonts w:ascii="Times New Roman" w:eastAsia="標楷體" w:hAnsi="Times New Roman" w:hint="eastAsia"/>
                <w:sz w:val="28"/>
                <w:szCs w:val="28"/>
              </w:rPr>
              <w:t>二、</w:t>
            </w:r>
            <w:r w:rsidRPr="00676B08">
              <w:rPr>
                <w:rFonts w:ascii="Times New Roman" w:eastAsia="標楷體" w:hAnsi="Times New Roman"/>
                <w:sz w:val="28"/>
                <w:szCs w:val="28"/>
              </w:rPr>
              <w:tab/>
            </w:r>
            <w:r w:rsidRPr="00676B08">
              <w:rPr>
                <w:rFonts w:ascii="Times New Roman" w:eastAsia="標楷體" w:hAnsi="Times New Roman" w:hint="eastAsia"/>
                <w:sz w:val="28"/>
                <w:szCs w:val="28"/>
              </w:rPr>
              <w:t>本</w:t>
            </w:r>
            <w:r w:rsidR="00E61DEB" w:rsidRPr="00676B08">
              <w:rPr>
                <w:rFonts w:ascii="Times New Roman" w:eastAsia="標楷體" w:hAnsi="Times New Roman" w:hint="eastAsia"/>
                <w:sz w:val="28"/>
                <w:szCs w:val="28"/>
              </w:rPr>
              <w:t>中心將</w:t>
            </w:r>
            <w:r w:rsidRPr="00676B08">
              <w:rPr>
                <w:rFonts w:ascii="Times New Roman" w:eastAsia="標楷體" w:hAnsi="Times New Roman" w:hint="eastAsia"/>
                <w:sz w:val="28"/>
                <w:szCs w:val="28"/>
              </w:rPr>
              <w:t>依發行面指標（獲利、是否發放股利等）及交易面指標（成交量、週轉率</w:t>
            </w:r>
            <w:r w:rsidR="00E61DEB" w:rsidRPr="00676B08">
              <w:rPr>
                <w:rFonts w:ascii="Times New Roman" w:eastAsia="標楷體" w:hAnsi="Times New Roman" w:hint="eastAsia"/>
                <w:sz w:val="28"/>
                <w:szCs w:val="28"/>
              </w:rPr>
              <w:t>、是否有券源管道</w:t>
            </w:r>
            <w:r w:rsidRPr="00676B08">
              <w:rPr>
                <w:rFonts w:ascii="Times New Roman" w:eastAsia="標楷體" w:hAnsi="Times New Roman" w:hint="eastAsia"/>
                <w:sz w:val="28"/>
                <w:szCs w:val="28"/>
              </w:rPr>
              <w:t>等）篩選出特定</w:t>
            </w:r>
            <w:r w:rsidR="00E61DEB" w:rsidRPr="00676B08">
              <w:rPr>
                <w:rFonts w:ascii="Times New Roman" w:eastAsia="標楷體" w:hAnsi="Times New Roman" w:hint="eastAsia"/>
                <w:sz w:val="28"/>
                <w:szCs w:val="28"/>
              </w:rPr>
              <w:t>上櫃</w:t>
            </w:r>
            <w:r w:rsidRPr="00676B08">
              <w:rPr>
                <w:rFonts w:ascii="Times New Roman" w:eastAsia="標楷體" w:hAnsi="Times New Roman" w:hint="eastAsia"/>
                <w:sz w:val="28"/>
                <w:szCs w:val="28"/>
              </w:rPr>
              <w:t>股票。</w:t>
            </w:r>
          </w:p>
          <w:p w14:paraId="4E2E3DAB" w14:textId="2E9997C3" w:rsidR="00232EA0" w:rsidRPr="00676B08" w:rsidRDefault="00232EA0" w:rsidP="00EC1ED4">
            <w:pPr>
              <w:spacing w:line="0" w:lineRule="atLeast"/>
              <w:ind w:left="567" w:hanging="567"/>
              <w:jc w:val="both"/>
              <w:rPr>
                <w:rFonts w:ascii="Times New Roman" w:eastAsia="標楷體" w:hAnsi="Times New Roman"/>
                <w:sz w:val="28"/>
                <w:szCs w:val="28"/>
              </w:rPr>
            </w:pPr>
            <w:r w:rsidRPr="00676B08">
              <w:rPr>
                <w:rFonts w:ascii="Times New Roman" w:eastAsia="標楷體" w:hAnsi="Times New Roman" w:hint="eastAsia"/>
                <w:sz w:val="28"/>
                <w:szCs w:val="28"/>
              </w:rPr>
              <w:t>三、股票造市者應對一定數量之</w:t>
            </w:r>
            <w:r w:rsidR="00092C3D" w:rsidRPr="00676B08">
              <w:rPr>
                <w:rFonts w:ascii="Times New Roman" w:eastAsia="標楷體" w:hAnsi="Times New Roman" w:hint="eastAsia"/>
                <w:sz w:val="28"/>
                <w:szCs w:val="28"/>
              </w:rPr>
              <w:t>選定</w:t>
            </w:r>
            <w:r w:rsidR="00E61DEB" w:rsidRPr="00676B08">
              <w:rPr>
                <w:rFonts w:ascii="Times New Roman" w:eastAsia="標楷體" w:hAnsi="Times New Roman" w:hint="eastAsia"/>
                <w:sz w:val="28"/>
                <w:szCs w:val="28"/>
              </w:rPr>
              <w:t>上櫃</w:t>
            </w:r>
            <w:r w:rsidRPr="00676B08">
              <w:rPr>
                <w:rFonts w:ascii="Times New Roman" w:eastAsia="標楷體" w:hAnsi="Times New Roman" w:hint="eastAsia"/>
                <w:sz w:val="28"/>
                <w:szCs w:val="28"/>
              </w:rPr>
              <w:t>股票提供買賣報價，</w:t>
            </w:r>
            <w:r w:rsidR="00B7769E" w:rsidRPr="00676B08">
              <w:rPr>
                <w:rFonts w:ascii="Times New Roman" w:eastAsia="標楷體" w:hAnsi="Times New Roman" w:hint="eastAsia"/>
                <w:sz w:val="28"/>
                <w:szCs w:val="28"/>
              </w:rPr>
              <w:t>交易獎勵參與者</w:t>
            </w:r>
            <w:r w:rsidRPr="00676B08">
              <w:rPr>
                <w:rFonts w:ascii="Times New Roman" w:eastAsia="標楷體" w:hAnsi="Times New Roman" w:hint="eastAsia"/>
                <w:sz w:val="28"/>
                <w:szCs w:val="28"/>
              </w:rPr>
              <w:t>以對特定</w:t>
            </w:r>
            <w:r w:rsidR="00E61DEB" w:rsidRPr="00676B08">
              <w:rPr>
                <w:rFonts w:ascii="Times New Roman" w:eastAsia="標楷體" w:hAnsi="Times New Roman" w:hint="eastAsia"/>
                <w:sz w:val="28"/>
                <w:szCs w:val="28"/>
              </w:rPr>
              <w:t>上櫃</w:t>
            </w:r>
            <w:r w:rsidRPr="00676B08">
              <w:rPr>
                <w:rFonts w:ascii="Times New Roman" w:eastAsia="標楷體" w:hAnsi="Times New Roman" w:hint="eastAsia"/>
                <w:sz w:val="28"/>
                <w:szCs w:val="28"/>
              </w:rPr>
              <w:t>股票參與交易為限。</w:t>
            </w:r>
          </w:p>
        </w:tc>
      </w:tr>
      <w:tr w:rsidR="00232EA0" w:rsidRPr="00676B08" w14:paraId="0FCEBA7A" w14:textId="77777777" w:rsidTr="00086317">
        <w:tc>
          <w:tcPr>
            <w:tcW w:w="2500" w:type="pct"/>
          </w:tcPr>
          <w:p w14:paraId="153484CF" w14:textId="77777777" w:rsidR="00232EA0" w:rsidRPr="00676B08" w:rsidRDefault="00232EA0" w:rsidP="00EC1ED4">
            <w:pPr>
              <w:spacing w:line="0" w:lineRule="atLeast"/>
              <w:ind w:leftChars="1" w:left="562" w:hangingChars="200" w:hanging="560"/>
              <w:jc w:val="both"/>
              <w:rPr>
                <w:rFonts w:ascii="Times New Roman" w:eastAsia="標楷體" w:hAnsi="Times New Roman"/>
                <w:sz w:val="28"/>
                <w:szCs w:val="28"/>
              </w:rPr>
            </w:pPr>
            <w:r w:rsidRPr="00676B08">
              <w:rPr>
                <w:rFonts w:ascii="Times New Roman" w:eastAsia="標楷體" w:hAnsi="Times New Roman" w:hint="eastAsia"/>
                <w:sz w:val="28"/>
                <w:szCs w:val="28"/>
              </w:rPr>
              <w:t>第三條</w:t>
            </w:r>
          </w:p>
          <w:p w14:paraId="1AD7C15C" w14:textId="58318BCB" w:rsidR="00232EA0" w:rsidRPr="00676B08" w:rsidRDefault="00232EA0" w:rsidP="00EC1ED4">
            <w:pPr>
              <w:spacing w:line="0" w:lineRule="atLeast"/>
              <w:ind w:firstLineChars="200" w:firstLine="560"/>
              <w:jc w:val="both"/>
              <w:rPr>
                <w:rFonts w:ascii="Times New Roman" w:eastAsia="標楷體" w:hAnsi="Times New Roman"/>
                <w:sz w:val="28"/>
                <w:szCs w:val="28"/>
              </w:rPr>
            </w:pPr>
            <w:r w:rsidRPr="00676B08">
              <w:rPr>
                <w:rFonts w:ascii="Times New Roman" w:eastAsia="標楷體" w:hAnsi="Times New Roman" w:hint="eastAsia"/>
                <w:sz w:val="28"/>
                <w:szCs w:val="28"/>
              </w:rPr>
              <w:t>股票造市者應以專戶（證券商帳號為五五五五五五</w:t>
            </w:r>
            <w:r w:rsidRPr="00676B08">
              <w:rPr>
                <w:rFonts w:ascii="Times New Roman" w:eastAsia="標楷體" w:hAnsi="Times New Roman"/>
                <w:sz w:val="28"/>
                <w:szCs w:val="28"/>
              </w:rPr>
              <w:t>-</w:t>
            </w:r>
            <w:r w:rsidRPr="00676B08">
              <w:rPr>
                <w:rFonts w:ascii="Times New Roman" w:eastAsia="標楷體" w:hAnsi="Times New Roman"/>
                <w:sz w:val="28"/>
                <w:szCs w:val="28"/>
              </w:rPr>
              <w:t>五</w:t>
            </w:r>
            <w:r w:rsidRPr="00676B08">
              <w:rPr>
                <w:rFonts w:ascii="Times New Roman" w:eastAsia="標楷體" w:hAnsi="Times New Roman" w:hint="eastAsia"/>
                <w:sz w:val="28"/>
                <w:szCs w:val="28"/>
              </w:rPr>
              <w:t>）提供買賣報價，</w:t>
            </w:r>
            <w:r w:rsidR="00B7769E" w:rsidRPr="00676B08">
              <w:rPr>
                <w:rFonts w:ascii="Times New Roman" w:eastAsia="標楷體" w:hAnsi="Times New Roman" w:hint="eastAsia"/>
                <w:sz w:val="28"/>
                <w:szCs w:val="28"/>
              </w:rPr>
              <w:t>交易獎勵參與者</w:t>
            </w:r>
            <w:r w:rsidRPr="00676B08">
              <w:rPr>
                <w:rFonts w:ascii="Times New Roman" w:eastAsia="標楷體" w:hAnsi="Times New Roman" w:hint="eastAsia"/>
                <w:sz w:val="28"/>
                <w:szCs w:val="28"/>
              </w:rPr>
              <w:t>應以專戶（證券商帳號為五五五五五五</w:t>
            </w:r>
            <w:r w:rsidRPr="00676B08">
              <w:rPr>
                <w:rFonts w:ascii="Times New Roman" w:eastAsia="標楷體" w:hAnsi="Times New Roman"/>
                <w:sz w:val="28"/>
                <w:szCs w:val="28"/>
              </w:rPr>
              <w:t>-</w:t>
            </w:r>
            <w:r w:rsidRPr="00676B08">
              <w:rPr>
                <w:rFonts w:ascii="Times New Roman" w:eastAsia="標楷體" w:hAnsi="Times New Roman" w:hint="eastAsia"/>
                <w:sz w:val="28"/>
                <w:szCs w:val="28"/>
              </w:rPr>
              <w:t>六）參與交易。</w:t>
            </w:r>
          </w:p>
          <w:p w14:paraId="4DB0CC24" w14:textId="221210B1" w:rsidR="000568C3" w:rsidRPr="00676B08" w:rsidRDefault="00232EA0" w:rsidP="00EC1ED4">
            <w:pPr>
              <w:spacing w:line="0" w:lineRule="atLeast"/>
              <w:ind w:firstLineChars="200" w:firstLine="560"/>
              <w:jc w:val="both"/>
              <w:rPr>
                <w:rFonts w:ascii="Times New Roman" w:eastAsia="標楷體" w:hAnsi="Times New Roman"/>
                <w:sz w:val="28"/>
                <w:szCs w:val="28"/>
              </w:rPr>
            </w:pPr>
            <w:r w:rsidRPr="00676B08">
              <w:rPr>
                <w:rFonts w:ascii="Times New Roman" w:eastAsia="標楷體" w:hAnsi="Times New Roman" w:hint="eastAsia"/>
                <w:sz w:val="28"/>
                <w:szCs w:val="28"/>
              </w:rPr>
              <w:t>股票造市者及</w:t>
            </w:r>
            <w:r w:rsidR="00B7769E" w:rsidRPr="00676B08">
              <w:rPr>
                <w:rFonts w:ascii="Times New Roman" w:eastAsia="標楷體" w:hAnsi="Times New Roman" w:hint="eastAsia"/>
                <w:sz w:val="28"/>
                <w:szCs w:val="28"/>
              </w:rPr>
              <w:t>交易獎勵參與者</w:t>
            </w:r>
            <w:r w:rsidRPr="00676B08">
              <w:rPr>
                <w:rFonts w:ascii="Times New Roman" w:eastAsia="標楷體" w:hAnsi="Times New Roman" w:hint="eastAsia"/>
                <w:sz w:val="28"/>
                <w:szCs w:val="28"/>
              </w:rPr>
              <w:t>得以前項專戶進行避險。</w:t>
            </w:r>
          </w:p>
          <w:p w14:paraId="3EA7D58F" w14:textId="6A07F0E1" w:rsidR="000568C3" w:rsidRPr="00676B08" w:rsidRDefault="000568C3" w:rsidP="00EC1ED4">
            <w:pPr>
              <w:spacing w:line="0" w:lineRule="atLeast"/>
              <w:ind w:firstLineChars="200" w:firstLine="560"/>
              <w:jc w:val="both"/>
              <w:rPr>
                <w:rFonts w:ascii="Times New Roman" w:eastAsia="標楷體" w:hAnsi="Times New Roman"/>
                <w:sz w:val="28"/>
                <w:szCs w:val="28"/>
              </w:rPr>
            </w:pPr>
          </w:p>
        </w:tc>
        <w:tc>
          <w:tcPr>
            <w:tcW w:w="2500" w:type="pct"/>
          </w:tcPr>
          <w:p w14:paraId="47B898E7" w14:textId="2E2EDF40" w:rsidR="00232EA0" w:rsidRPr="00676B08" w:rsidRDefault="00E61DEB" w:rsidP="00EC1ED4">
            <w:pPr>
              <w:spacing w:line="0" w:lineRule="atLeast"/>
              <w:jc w:val="both"/>
              <w:rPr>
                <w:rFonts w:ascii="Times New Roman" w:eastAsia="標楷體" w:hAnsi="Times New Roman"/>
                <w:snapToGrid w:val="0"/>
                <w:sz w:val="28"/>
                <w:szCs w:val="28"/>
              </w:rPr>
            </w:pPr>
            <w:r w:rsidRPr="00676B08">
              <w:rPr>
                <w:rFonts w:ascii="Times New Roman" w:eastAsia="標楷體" w:hAnsi="Times New Roman" w:hint="eastAsia"/>
                <w:snapToGrid w:val="0"/>
                <w:sz w:val="28"/>
                <w:szCs w:val="28"/>
              </w:rPr>
              <w:t>訂定</w:t>
            </w:r>
            <w:r w:rsidR="00232EA0" w:rsidRPr="00676B08">
              <w:rPr>
                <w:rFonts w:ascii="Times New Roman" w:eastAsia="標楷體" w:hAnsi="Times New Roman" w:hint="eastAsia"/>
                <w:snapToGrid w:val="0"/>
                <w:sz w:val="28"/>
                <w:szCs w:val="28"/>
              </w:rPr>
              <w:t>股票造市者及</w:t>
            </w:r>
            <w:r w:rsidR="00B7769E" w:rsidRPr="00676B08">
              <w:rPr>
                <w:rFonts w:ascii="Times New Roman" w:eastAsia="標楷體" w:hAnsi="Times New Roman" w:hint="eastAsia"/>
                <w:snapToGrid w:val="0"/>
                <w:sz w:val="28"/>
                <w:szCs w:val="28"/>
              </w:rPr>
              <w:t>交易獎勵參與者</w:t>
            </w:r>
            <w:r w:rsidR="00232EA0" w:rsidRPr="00676B08">
              <w:rPr>
                <w:rFonts w:ascii="Times New Roman" w:eastAsia="標楷體" w:hAnsi="Times New Roman" w:hint="eastAsia"/>
                <w:snapToGrid w:val="0"/>
                <w:sz w:val="28"/>
                <w:szCs w:val="28"/>
              </w:rPr>
              <w:t>專戶相關規範，</w:t>
            </w:r>
            <w:r w:rsidRPr="00676B08">
              <w:rPr>
                <w:rFonts w:ascii="Times New Roman" w:eastAsia="標楷體" w:hAnsi="Times New Roman" w:hint="eastAsia"/>
                <w:snapToGrid w:val="0"/>
                <w:sz w:val="28"/>
                <w:szCs w:val="28"/>
              </w:rPr>
              <w:t>並</w:t>
            </w:r>
            <w:r w:rsidR="00232EA0" w:rsidRPr="00676B08">
              <w:rPr>
                <w:rFonts w:ascii="Times New Roman" w:eastAsia="標楷體" w:hAnsi="Times New Roman" w:hint="eastAsia"/>
                <w:snapToGrid w:val="0"/>
                <w:sz w:val="28"/>
                <w:szCs w:val="28"/>
              </w:rPr>
              <w:t>依其自身風險控管機制得以專戶從事避險目的交易。</w:t>
            </w:r>
          </w:p>
        </w:tc>
      </w:tr>
      <w:tr w:rsidR="00232EA0" w:rsidRPr="00676B08" w14:paraId="0801C70D" w14:textId="77777777" w:rsidTr="00086317">
        <w:tc>
          <w:tcPr>
            <w:tcW w:w="2500" w:type="pct"/>
            <w:shd w:val="clear" w:color="auto" w:fill="auto"/>
          </w:tcPr>
          <w:p w14:paraId="58283AF1" w14:textId="77777777" w:rsidR="00232EA0" w:rsidRPr="00676B08" w:rsidRDefault="00232EA0" w:rsidP="00EC1ED4">
            <w:pPr>
              <w:spacing w:line="0" w:lineRule="atLeast"/>
              <w:ind w:left="540" w:hangingChars="193" w:hanging="540"/>
              <w:jc w:val="both"/>
              <w:rPr>
                <w:rFonts w:ascii="Times New Roman" w:eastAsia="標楷體" w:hAnsi="Times New Roman"/>
                <w:sz w:val="28"/>
                <w:szCs w:val="28"/>
              </w:rPr>
            </w:pPr>
            <w:r w:rsidRPr="00676B08">
              <w:rPr>
                <w:rFonts w:ascii="Times New Roman" w:eastAsia="標楷體" w:hAnsi="Times New Roman" w:hint="eastAsia"/>
                <w:sz w:val="28"/>
                <w:szCs w:val="28"/>
              </w:rPr>
              <w:lastRenderedPageBreak/>
              <w:t>第四條</w:t>
            </w:r>
          </w:p>
          <w:p w14:paraId="1A6A14C8" w14:textId="4ECE2FE5" w:rsidR="00232EA0" w:rsidRPr="00676B08" w:rsidRDefault="00232EA0" w:rsidP="00EC1ED4">
            <w:pPr>
              <w:spacing w:line="0" w:lineRule="atLeast"/>
              <w:ind w:firstLineChars="200" w:firstLine="560"/>
              <w:jc w:val="both"/>
              <w:rPr>
                <w:rFonts w:ascii="Times New Roman" w:eastAsia="標楷體" w:hAnsi="Times New Roman"/>
                <w:sz w:val="28"/>
                <w:szCs w:val="28"/>
              </w:rPr>
            </w:pPr>
            <w:r w:rsidRPr="00676B08">
              <w:rPr>
                <w:rFonts w:ascii="Times New Roman" w:eastAsia="標楷體" w:hAnsi="Times New Roman" w:hint="eastAsia"/>
                <w:sz w:val="28"/>
                <w:szCs w:val="28"/>
              </w:rPr>
              <w:t>股票造市者於本中心櫃檯買賣交易市場開</w:t>
            </w:r>
            <w:r w:rsidR="00092C3D" w:rsidRPr="00676B08">
              <w:rPr>
                <w:rFonts w:ascii="Times New Roman" w:eastAsia="標楷體" w:hAnsi="Times New Roman" w:hint="eastAsia"/>
                <w:sz w:val="28"/>
                <w:szCs w:val="28"/>
              </w:rPr>
              <w:t>市</w:t>
            </w:r>
            <w:r w:rsidRPr="00676B08">
              <w:rPr>
                <w:rFonts w:ascii="Times New Roman" w:eastAsia="標楷體" w:hAnsi="Times New Roman" w:hint="eastAsia"/>
                <w:sz w:val="28"/>
                <w:szCs w:val="28"/>
              </w:rPr>
              <w:t>後五分鐘至收</w:t>
            </w:r>
            <w:r w:rsidR="00092C3D" w:rsidRPr="00676B08">
              <w:rPr>
                <w:rFonts w:ascii="Times New Roman" w:eastAsia="標楷體" w:hAnsi="Times New Roman" w:hint="eastAsia"/>
                <w:sz w:val="28"/>
                <w:szCs w:val="28"/>
              </w:rPr>
              <w:t>市</w:t>
            </w:r>
            <w:r w:rsidRPr="00676B08">
              <w:rPr>
                <w:rFonts w:ascii="Times New Roman" w:eastAsia="標楷體" w:hAnsi="Times New Roman" w:hint="eastAsia"/>
                <w:sz w:val="28"/>
                <w:szCs w:val="28"/>
              </w:rPr>
              <w:t>期間</w:t>
            </w:r>
            <w:r w:rsidRPr="00676B08">
              <w:rPr>
                <w:rFonts w:ascii="Times New Roman" w:eastAsia="標楷體" w:hAnsi="Times New Roman"/>
                <w:sz w:val="28"/>
                <w:szCs w:val="28"/>
              </w:rPr>
              <w:t>為</w:t>
            </w:r>
            <w:r w:rsidRPr="00676B08">
              <w:rPr>
                <w:rFonts w:ascii="Times New Roman" w:eastAsia="標楷體" w:hAnsi="Times New Roman" w:hint="eastAsia"/>
                <w:sz w:val="28"/>
                <w:szCs w:val="28"/>
              </w:rPr>
              <w:t>選定上櫃股票</w:t>
            </w:r>
            <w:r w:rsidRPr="00676B08">
              <w:rPr>
                <w:rFonts w:ascii="Times New Roman" w:eastAsia="標楷體" w:hAnsi="Times New Roman"/>
                <w:sz w:val="28"/>
                <w:szCs w:val="28"/>
              </w:rPr>
              <w:t>提供</w:t>
            </w:r>
            <w:r w:rsidRPr="00676B08">
              <w:rPr>
                <w:rFonts w:ascii="Times New Roman" w:eastAsia="標楷體" w:hAnsi="Times New Roman" w:hint="eastAsia"/>
                <w:sz w:val="28"/>
                <w:szCs w:val="28"/>
              </w:rPr>
              <w:t>買賣報價，相關</w:t>
            </w:r>
            <w:r w:rsidRPr="00676B08">
              <w:rPr>
                <w:rFonts w:ascii="Times New Roman" w:eastAsia="標楷體" w:hAnsi="Times New Roman"/>
                <w:sz w:val="28"/>
                <w:szCs w:val="28"/>
              </w:rPr>
              <w:t>作業規範如下：</w:t>
            </w:r>
          </w:p>
          <w:p w14:paraId="72ABFF57" w14:textId="77777777" w:rsidR="00232EA0" w:rsidRPr="00676B08" w:rsidRDefault="00232EA0" w:rsidP="00EC1ED4">
            <w:pPr>
              <w:spacing w:line="0" w:lineRule="atLeast"/>
              <w:ind w:leftChars="4" w:left="570" w:hangingChars="200" w:hanging="560"/>
              <w:jc w:val="both"/>
              <w:rPr>
                <w:rFonts w:ascii="Times New Roman" w:eastAsia="標楷體" w:hAnsi="Times New Roman"/>
                <w:sz w:val="28"/>
                <w:szCs w:val="28"/>
              </w:rPr>
            </w:pPr>
            <w:r w:rsidRPr="00676B08">
              <w:rPr>
                <w:rFonts w:ascii="Times New Roman" w:eastAsia="標楷體" w:hAnsi="Times New Roman" w:hint="eastAsia"/>
                <w:sz w:val="28"/>
                <w:szCs w:val="28"/>
              </w:rPr>
              <w:t>一、申報之價格應包含買進價格及賣出價格，且有效期別不得為立即成交否則取消、立即全部成交否則取消</w:t>
            </w:r>
            <w:r w:rsidRPr="00676B08">
              <w:rPr>
                <w:rFonts w:ascii="Times New Roman" w:eastAsia="標楷體" w:hAnsi="Times New Roman"/>
                <w:sz w:val="28"/>
                <w:szCs w:val="28"/>
              </w:rPr>
              <w:t>。</w:t>
            </w:r>
          </w:p>
          <w:p w14:paraId="4B6F9FC5" w14:textId="77777777" w:rsidR="00232EA0" w:rsidRPr="00676B08" w:rsidRDefault="00232EA0" w:rsidP="00EC1ED4">
            <w:pPr>
              <w:spacing w:line="0" w:lineRule="atLeast"/>
              <w:ind w:leftChars="4" w:left="570" w:hangingChars="200" w:hanging="560"/>
              <w:jc w:val="both"/>
              <w:rPr>
                <w:rFonts w:ascii="Times New Roman" w:eastAsia="標楷體" w:hAnsi="Times New Roman"/>
                <w:sz w:val="28"/>
                <w:szCs w:val="28"/>
              </w:rPr>
            </w:pPr>
            <w:r w:rsidRPr="00676B08">
              <w:rPr>
                <w:rFonts w:ascii="Times New Roman" w:eastAsia="標楷體" w:hAnsi="Times New Roman" w:hint="eastAsia"/>
                <w:sz w:val="28"/>
                <w:szCs w:val="28"/>
              </w:rPr>
              <w:t>二、申報之買進價格及賣出價格價差不得大於百分之三，其計算公式如下：</w:t>
            </w:r>
            <w:r w:rsidRPr="00676B08">
              <w:rPr>
                <w:rFonts w:ascii="Times New Roman" w:eastAsia="標楷體" w:hAnsi="Times New Roman"/>
                <w:sz w:val="28"/>
                <w:szCs w:val="28"/>
              </w:rPr>
              <w:br/>
            </w:r>
            <w:r w:rsidRPr="00676B08">
              <w:rPr>
                <w:rFonts w:ascii="Times New Roman" w:eastAsia="標楷體" w:hAnsi="Times New Roman" w:hint="eastAsia"/>
                <w:sz w:val="28"/>
                <w:szCs w:val="28"/>
              </w:rPr>
              <w:t>（買進價格及賣出價格價差）＝〔（賣出申報價格）－（買進申報價格）〕／（賣出申報價格）。</w:t>
            </w:r>
          </w:p>
          <w:p w14:paraId="14512974" w14:textId="77777777" w:rsidR="00232EA0" w:rsidRPr="00676B08" w:rsidRDefault="00232EA0" w:rsidP="00EC1ED4">
            <w:pPr>
              <w:spacing w:line="0" w:lineRule="atLeast"/>
              <w:ind w:leftChars="4" w:left="570" w:hangingChars="200" w:hanging="560"/>
              <w:jc w:val="both"/>
              <w:rPr>
                <w:rFonts w:ascii="Times New Roman" w:eastAsia="標楷體" w:hAnsi="Times New Roman"/>
                <w:sz w:val="28"/>
                <w:szCs w:val="28"/>
              </w:rPr>
            </w:pPr>
            <w:r w:rsidRPr="00676B08">
              <w:rPr>
                <w:rFonts w:ascii="Times New Roman" w:eastAsia="標楷體" w:hAnsi="Times New Roman" w:hint="eastAsia"/>
                <w:sz w:val="28"/>
                <w:szCs w:val="28"/>
              </w:rPr>
              <w:t>三、每筆買進及賣出報價不得低於五交易單位或總金額應達新臺幣二十萬元以上。</w:t>
            </w:r>
          </w:p>
          <w:p w14:paraId="08AFF54D" w14:textId="3274B318" w:rsidR="00232EA0" w:rsidRPr="00676B08" w:rsidRDefault="00232EA0" w:rsidP="00EC1ED4">
            <w:pPr>
              <w:spacing w:line="0" w:lineRule="atLeast"/>
              <w:ind w:leftChars="4" w:left="570" w:hangingChars="200" w:hanging="560"/>
              <w:jc w:val="both"/>
              <w:rPr>
                <w:rFonts w:ascii="Times New Roman" w:eastAsia="標楷體" w:hAnsi="Times New Roman"/>
                <w:sz w:val="28"/>
                <w:szCs w:val="28"/>
              </w:rPr>
            </w:pPr>
            <w:r w:rsidRPr="00676B08">
              <w:rPr>
                <w:rFonts w:ascii="Times New Roman" w:eastAsia="標楷體" w:hAnsi="Times New Roman" w:hint="eastAsia"/>
                <w:sz w:val="28"/>
                <w:szCs w:val="28"/>
              </w:rPr>
              <w:t>四、當日報價維持時間應達櫃檯買賣交易市場</w:t>
            </w:r>
            <w:r w:rsidR="00FB75E9" w:rsidRPr="00676B08">
              <w:rPr>
                <w:rFonts w:ascii="Times New Roman" w:eastAsia="標楷體" w:hAnsi="Times New Roman" w:hint="eastAsia"/>
                <w:sz w:val="28"/>
                <w:szCs w:val="28"/>
              </w:rPr>
              <w:t>開市後五分鐘至收市期間</w:t>
            </w:r>
            <w:r w:rsidRPr="00676B08">
              <w:rPr>
                <w:rFonts w:ascii="Times New Roman" w:eastAsia="標楷體" w:hAnsi="Times New Roman" w:hint="eastAsia"/>
                <w:sz w:val="28"/>
                <w:szCs w:val="28"/>
              </w:rPr>
              <w:t>之百分之五十以上，選定上櫃股票有下列情事得排除計算之：</w:t>
            </w:r>
          </w:p>
          <w:p w14:paraId="61623A40" w14:textId="77777777" w:rsidR="00232EA0" w:rsidRPr="00676B08" w:rsidRDefault="00232EA0" w:rsidP="00EC1ED4">
            <w:pPr>
              <w:spacing w:line="0" w:lineRule="atLeast"/>
              <w:ind w:leftChars="100" w:left="1080" w:hangingChars="300" w:hanging="840"/>
              <w:jc w:val="both"/>
              <w:rPr>
                <w:rFonts w:ascii="Times New Roman" w:eastAsia="標楷體" w:hAnsi="Times New Roman"/>
                <w:sz w:val="28"/>
                <w:szCs w:val="28"/>
              </w:rPr>
            </w:pPr>
            <w:r w:rsidRPr="00676B08">
              <w:rPr>
                <w:rFonts w:ascii="Times New Roman" w:eastAsia="標楷體" w:hAnsi="Times New Roman" w:hint="eastAsia"/>
                <w:sz w:val="28"/>
                <w:szCs w:val="28"/>
              </w:rPr>
              <w:t>（一）有本中心業務規則第三十五條第四項或第三十五條之十一第一項延緩撮合期間。</w:t>
            </w:r>
          </w:p>
          <w:p w14:paraId="10619AB2" w14:textId="77777777" w:rsidR="00232EA0" w:rsidRPr="00676B08" w:rsidRDefault="00232EA0" w:rsidP="00EC1ED4">
            <w:pPr>
              <w:spacing w:line="0" w:lineRule="atLeast"/>
              <w:ind w:leftChars="100" w:left="1080" w:hangingChars="300" w:hanging="840"/>
              <w:jc w:val="both"/>
              <w:rPr>
                <w:rFonts w:ascii="Times New Roman" w:eastAsia="標楷體" w:hAnsi="Times New Roman"/>
                <w:sz w:val="28"/>
                <w:szCs w:val="28"/>
              </w:rPr>
            </w:pPr>
            <w:r w:rsidRPr="00676B08">
              <w:rPr>
                <w:rFonts w:ascii="Times New Roman" w:eastAsia="標楷體" w:hAnsi="Times New Roman" w:hint="eastAsia"/>
                <w:sz w:val="28"/>
                <w:szCs w:val="28"/>
              </w:rPr>
              <w:t>（二）揭示價格為漲停買進或跌停賣出期間。</w:t>
            </w:r>
          </w:p>
          <w:p w14:paraId="0B78524B" w14:textId="180C4D6A" w:rsidR="00232EA0" w:rsidRPr="00676B08" w:rsidRDefault="00232EA0" w:rsidP="00EC1ED4">
            <w:pPr>
              <w:spacing w:line="0" w:lineRule="atLeast"/>
              <w:ind w:leftChars="100" w:left="1080" w:hangingChars="300" w:hanging="840"/>
              <w:jc w:val="both"/>
              <w:rPr>
                <w:rFonts w:ascii="Times New Roman" w:eastAsia="標楷體" w:hAnsi="Times New Roman"/>
                <w:sz w:val="28"/>
                <w:szCs w:val="28"/>
              </w:rPr>
            </w:pPr>
            <w:r w:rsidRPr="00676B08">
              <w:rPr>
                <w:rFonts w:ascii="Times New Roman" w:eastAsia="標楷體" w:hAnsi="Times New Roman" w:hint="eastAsia"/>
                <w:sz w:val="28"/>
                <w:szCs w:val="28"/>
              </w:rPr>
              <w:t>（三）揭示之最佳買價或賣價為市價期間。</w:t>
            </w:r>
          </w:p>
          <w:p w14:paraId="2B02AB15" w14:textId="3B5C9C48" w:rsidR="000A379A" w:rsidRPr="00676B08" w:rsidRDefault="000A379A" w:rsidP="00EC1ED4">
            <w:pPr>
              <w:spacing w:line="0" w:lineRule="atLeast"/>
              <w:ind w:leftChars="100" w:left="1080" w:hangingChars="300" w:hanging="840"/>
              <w:jc w:val="both"/>
              <w:rPr>
                <w:rFonts w:ascii="Times New Roman" w:eastAsia="標楷體" w:hAnsi="Times New Roman"/>
                <w:sz w:val="28"/>
                <w:szCs w:val="28"/>
              </w:rPr>
            </w:pPr>
            <w:r w:rsidRPr="00676B08">
              <w:rPr>
                <w:rFonts w:ascii="Times New Roman" w:eastAsia="標楷體" w:hAnsi="Times New Roman" w:hint="eastAsia"/>
                <w:sz w:val="28"/>
                <w:szCs w:val="28"/>
              </w:rPr>
              <w:t>（四）經本中心同意之其他得不報價時機。</w:t>
            </w:r>
          </w:p>
          <w:p w14:paraId="21F9C07E" w14:textId="77777777" w:rsidR="00232EA0" w:rsidRPr="00676B08" w:rsidRDefault="00232EA0" w:rsidP="00EC1ED4">
            <w:pPr>
              <w:spacing w:line="0" w:lineRule="atLeast"/>
              <w:ind w:leftChars="4" w:left="570" w:hangingChars="200" w:hanging="560"/>
              <w:jc w:val="both"/>
              <w:rPr>
                <w:rFonts w:ascii="Times New Roman" w:eastAsia="標楷體" w:hAnsi="Times New Roman"/>
                <w:sz w:val="28"/>
                <w:szCs w:val="28"/>
              </w:rPr>
            </w:pPr>
            <w:r w:rsidRPr="00676B08">
              <w:rPr>
                <w:rFonts w:ascii="Times New Roman" w:eastAsia="標楷體" w:hAnsi="Times New Roman" w:hint="eastAsia"/>
                <w:sz w:val="28"/>
                <w:szCs w:val="28"/>
              </w:rPr>
              <w:t>五、當月符合前四款之有效報價日數應達當月應報價日數百分之八十以上，所稱應報價</w:t>
            </w:r>
            <w:r w:rsidRPr="00676B08">
              <w:rPr>
                <w:rFonts w:ascii="Times New Roman" w:eastAsia="標楷體" w:hAnsi="Times New Roman" w:hint="eastAsia"/>
                <w:sz w:val="28"/>
                <w:szCs w:val="28"/>
              </w:rPr>
              <w:lastRenderedPageBreak/>
              <w:t>日數係指選定上櫃股票當月交易日數減除下列情形者：</w:t>
            </w:r>
          </w:p>
          <w:p w14:paraId="055A72ED" w14:textId="77777777" w:rsidR="00232EA0" w:rsidRPr="00676B08" w:rsidRDefault="00232EA0" w:rsidP="00EC1ED4">
            <w:pPr>
              <w:spacing w:line="0" w:lineRule="atLeast"/>
              <w:ind w:leftChars="100" w:left="1080" w:hangingChars="300" w:hanging="840"/>
              <w:jc w:val="both"/>
              <w:rPr>
                <w:rFonts w:ascii="Times New Roman" w:eastAsia="標楷體" w:hAnsi="Times New Roman"/>
                <w:sz w:val="28"/>
                <w:szCs w:val="28"/>
              </w:rPr>
            </w:pPr>
            <w:r w:rsidRPr="00676B08">
              <w:rPr>
                <w:rFonts w:ascii="Times New Roman" w:eastAsia="標楷體" w:hAnsi="Times New Roman" w:hint="eastAsia"/>
                <w:sz w:val="28"/>
                <w:szCs w:val="28"/>
              </w:rPr>
              <w:t>（一）選定上櫃股票列為處置股票期間。</w:t>
            </w:r>
          </w:p>
          <w:p w14:paraId="79F796B5" w14:textId="41387F0E" w:rsidR="00232EA0" w:rsidRPr="00676B08" w:rsidRDefault="00232EA0" w:rsidP="00EC1ED4">
            <w:pPr>
              <w:spacing w:line="0" w:lineRule="atLeast"/>
              <w:ind w:leftChars="100" w:left="1080" w:hangingChars="300" w:hanging="840"/>
              <w:jc w:val="both"/>
              <w:rPr>
                <w:rFonts w:ascii="Times New Roman" w:eastAsia="標楷體" w:hAnsi="Times New Roman"/>
                <w:sz w:val="28"/>
                <w:szCs w:val="28"/>
              </w:rPr>
            </w:pPr>
            <w:r w:rsidRPr="00676B08">
              <w:rPr>
                <w:rFonts w:ascii="Times New Roman" w:eastAsia="標楷體" w:hAnsi="Times New Roman" w:hint="eastAsia"/>
                <w:sz w:val="28"/>
                <w:szCs w:val="28"/>
              </w:rPr>
              <w:t>（二）選定上櫃股票採分盤</w:t>
            </w:r>
            <w:r w:rsidR="00C13C0B" w:rsidRPr="00676B08">
              <w:rPr>
                <w:rFonts w:ascii="Times New Roman" w:eastAsia="標楷體" w:hAnsi="Times New Roman" w:hint="eastAsia"/>
                <w:sz w:val="28"/>
                <w:szCs w:val="28"/>
              </w:rPr>
              <w:t>方式交易</w:t>
            </w:r>
            <w:r w:rsidRPr="00676B08">
              <w:rPr>
                <w:rFonts w:ascii="Times New Roman" w:eastAsia="標楷體" w:hAnsi="Times New Roman" w:hint="eastAsia"/>
                <w:sz w:val="28"/>
                <w:szCs w:val="28"/>
              </w:rPr>
              <w:t>期間。</w:t>
            </w:r>
          </w:p>
          <w:p w14:paraId="194DCFDD" w14:textId="2A5D88D4" w:rsidR="00232EA0" w:rsidRPr="00676B08" w:rsidRDefault="00232EA0" w:rsidP="00EC1ED4">
            <w:pPr>
              <w:spacing w:line="0" w:lineRule="atLeast"/>
              <w:ind w:leftChars="100" w:left="1080" w:hangingChars="300" w:hanging="840"/>
              <w:jc w:val="both"/>
              <w:rPr>
                <w:rFonts w:ascii="Times New Roman" w:eastAsia="標楷體" w:hAnsi="Times New Roman"/>
                <w:sz w:val="28"/>
                <w:szCs w:val="28"/>
              </w:rPr>
            </w:pPr>
            <w:r w:rsidRPr="00676B08">
              <w:rPr>
                <w:rFonts w:ascii="Times New Roman" w:eastAsia="標楷體" w:hAnsi="Times New Roman" w:hint="eastAsia"/>
                <w:sz w:val="28"/>
                <w:szCs w:val="28"/>
              </w:rPr>
              <w:t>（三）經本中心同意之其他得不報價時機。</w:t>
            </w:r>
          </w:p>
        </w:tc>
        <w:tc>
          <w:tcPr>
            <w:tcW w:w="2500" w:type="pct"/>
            <w:shd w:val="clear" w:color="auto" w:fill="auto"/>
          </w:tcPr>
          <w:p w14:paraId="592BFFD0" w14:textId="114DA5F8" w:rsidR="00232EA0" w:rsidRPr="00676B08" w:rsidRDefault="00755EB5" w:rsidP="00EC1ED4">
            <w:pPr>
              <w:spacing w:line="0" w:lineRule="atLeast"/>
              <w:jc w:val="both"/>
              <w:rPr>
                <w:rFonts w:ascii="Times New Roman" w:eastAsia="標楷體" w:hAnsi="Times New Roman"/>
                <w:sz w:val="28"/>
                <w:szCs w:val="28"/>
              </w:rPr>
            </w:pPr>
            <w:r w:rsidRPr="00676B08">
              <w:rPr>
                <w:rFonts w:ascii="標楷體" w:eastAsia="標楷體" w:hAnsi="標楷體" w:hint="eastAsia"/>
                <w:sz w:val="28"/>
                <w:szCs w:val="28"/>
              </w:rPr>
              <w:lastRenderedPageBreak/>
              <w:t>明定</w:t>
            </w:r>
            <w:r w:rsidR="00232EA0" w:rsidRPr="00676B08">
              <w:rPr>
                <w:rFonts w:ascii="Times New Roman" w:eastAsia="標楷體" w:hAnsi="Times New Roman" w:hint="eastAsia"/>
                <w:sz w:val="28"/>
                <w:szCs w:val="28"/>
              </w:rPr>
              <w:t>股票造市者於本中心櫃檯買賣交易市場交易時段應履行</w:t>
            </w:r>
            <w:r w:rsidR="00E61DEB" w:rsidRPr="00676B08">
              <w:rPr>
                <w:rFonts w:ascii="Times New Roman" w:eastAsia="標楷體" w:hAnsi="Times New Roman" w:hint="eastAsia"/>
                <w:sz w:val="28"/>
                <w:szCs w:val="28"/>
              </w:rPr>
              <w:t>之</w:t>
            </w:r>
            <w:r w:rsidR="00232EA0" w:rsidRPr="00676B08">
              <w:rPr>
                <w:rFonts w:ascii="Times New Roman" w:eastAsia="標楷體" w:hAnsi="Times New Roman" w:hint="eastAsia"/>
                <w:sz w:val="28"/>
                <w:szCs w:val="28"/>
              </w:rPr>
              <w:t>報價義務相關規定。</w:t>
            </w:r>
          </w:p>
        </w:tc>
      </w:tr>
      <w:tr w:rsidR="00232EA0" w:rsidRPr="00676B08" w14:paraId="027A297B" w14:textId="77777777" w:rsidTr="00086317">
        <w:tc>
          <w:tcPr>
            <w:tcW w:w="2500" w:type="pct"/>
            <w:shd w:val="clear" w:color="auto" w:fill="auto"/>
          </w:tcPr>
          <w:p w14:paraId="33B51090" w14:textId="77777777" w:rsidR="00C77AB6" w:rsidRPr="00676B08" w:rsidRDefault="00C77AB6" w:rsidP="00EC1ED4">
            <w:pPr>
              <w:spacing w:line="0" w:lineRule="atLeast"/>
              <w:ind w:left="540" w:hangingChars="193" w:hanging="540"/>
              <w:jc w:val="both"/>
              <w:rPr>
                <w:rFonts w:ascii="Times New Roman" w:eastAsia="標楷體" w:hAnsi="Times New Roman"/>
                <w:sz w:val="28"/>
                <w:szCs w:val="28"/>
              </w:rPr>
            </w:pPr>
            <w:r w:rsidRPr="00676B08">
              <w:rPr>
                <w:rFonts w:ascii="Times New Roman" w:eastAsia="標楷體" w:hAnsi="Times New Roman" w:hint="eastAsia"/>
                <w:sz w:val="28"/>
                <w:szCs w:val="28"/>
              </w:rPr>
              <w:t>第五條</w:t>
            </w:r>
          </w:p>
          <w:p w14:paraId="44492E44" w14:textId="04FD4D13" w:rsidR="00C77AB6" w:rsidRPr="00676B08" w:rsidRDefault="00C77AB6" w:rsidP="00EC1ED4">
            <w:pPr>
              <w:spacing w:line="0" w:lineRule="atLeast"/>
              <w:ind w:firstLineChars="200" w:firstLine="560"/>
              <w:jc w:val="both"/>
              <w:rPr>
                <w:rFonts w:ascii="Times New Roman" w:eastAsia="標楷體" w:hAnsi="Times New Roman"/>
                <w:sz w:val="28"/>
                <w:szCs w:val="28"/>
              </w:rPr>
            </w:pPr>
            <w:r w:rsidRPr="00676B08">
              <w:rPr>
                <w:rFonts w:ascii="Times New Roman" w:eastAsia="標楷體" w:hAnsi="Times New Roman" w:hint="eastAsia"/>
                <w:sz w:val="28"/>
                <w:szCs w:val="28"/>
              </w:rPr>
              <w:t>股票造市者及</w:t>
            </w:r>
            <w:r w:rsidR="00B7769E" w:rsidRPr="00676B08">
              <w:rPr>
                <w:rFonts w:ascii="Times New Roman" w:eastAsia="標楷體" w:hAnsi="Times New Roman" w:hint="eastAsia"/>
                <w:sz w:val="28"/>
                <w:szCs w:val="28"/>
              </w:rPr>
              <w:t>交易獎勵參與者</w:t>
            </w:r>
            <w:r w:rsidRPr="00676B08">
              <w:rPr>
                <w:rFonts w:ascii="Times New Roman" w:eastAsia="標楷體" w:hAnsi="Times New Roman" w:hint="eastAsia"/>
                <w:sz w:val="28"/>
                <w:szCs w:val="28"/>
              </w:rPr>
              <w:t>於同一日就同一種類證券之普通交易、盤後定價交易</w:t>
            </w:r>
            <w:r w:rsidR="003A5E43" w:rsidRPr="00676B08">
              <w:rPr>
                <w:rFonts w:ascii="Times New Roman" w:eastAsia="標楷體" w:hAnsi="Times New Roman" w:hint="eastAsia"/>
                <w:sz w:val="28"/>
                <w:szCs w:val="28"/>
              </w:rPr>
              <w:t>、鉅額買賣及零股交易，</w:t>
            </w:r>
            <w:r w:rsidRPr="00676B08">
              <w:rPr>
                <w:rFonts w:ascii="Times New Roman" w:eastAsia="標楷體" w:hAnsi="Times New Roman" w:hint="eastAsia"/>
                <w:sz w:val="28"/>
                <w:szCs w:val="28"/>
              </w:rPr>
              <w:t>得按該證券應收應付相抵後之餘額辦理給付結算。</w:t>
            </w:r>
          </w:p>
          <w:p w14:paraId="4680CB42" w14:textId="77777777" w:rsidR="00C77AB6" w:rsidRPr="00676B08" w:rsidRDefault="00C77AB6" w:rsidP="00EC1ED4">
            <w:pPr>
              <w:spacing w:line="0" w:lineRule="atLeast"/>
              <w:ind w:firstLineChars="200" w:firstLine="560"/>
              <w:jc w:val="both"/>
              <w:rPr>
                <w:rFonts w:ascii="Times New Roman" w:eastAsia="標楷體" w:hAnsi="Times New Roman"/>
                <w:sz w:val="28"/>
                <w:szCs w:val="28"/>
              </w:rPr>
            </w:pPr>
            <w:r w:rsidRPr="00676B08">
              <w:rPr>
                <w:rFonts w:ascii="Times New Roman" w:eastAsia="標楷體" w:hAnsi="Times New Roman" w:hint="eastAsia"/>
                <w:sz w:val="28"/>
                <w:szCs w:val="28"/>
              </w:rPr>
              <w:t>前項證券應收應付相抵後之餘額超過專戶內之證券餘額者，其不足部分至遲於次二營業日依本中心業務規則第八十六條之一規定申請借券辦理給付結算。</w:t>
            </w:r>
          </w:p>
          <w:p w14:paraId="53C851B5" w14:textId="3EA33931" w:rsidR="00232EA0" w:rsidRPr="00676B08" w:rsidRDefault="00C77AB6" w:rsidP="00EC1ED4">
            <w:pPr>
              <w:spacing w:line="0" w:lineRule="atLeast"/>
              <w:ind w:firstLineChars="200" w:firstLine="560"/>
              <w:jc w:val="both"/>
              <w:rPr>
                <w:rFonts w:ascii="Times New Roman" w:eastAsia="標楷體" w:hAnsi="Times New Roman"/>
                <w:sz w:val="28"/>
                <w:szCs w:val="28"/>
              </w:rPr>
            </w:pPr>
            <w:r w:rsidRPr="00676B08">
              <w:rPr>
                <w:rFonts w:ascii="Times New Roman" w:eastAsia="標楷體" w:hAnsi="Times New Roman" w:hint="eastAsia"/>
                <w:sz w:val="28"/>
                <w:szCs w:val="28"/>
              </w:rPr>
              <w:t>依本中心業務規則第八十六條之一規定申請借券辦理</w:t>
            </w:r>
            <w:r w:rsidR="000D479C" w:rsidRPr="00676B08">
              <w:rPr>
                <w:rFonts w:ascii="Times New Roman" w:eastAsia="標楷體" w:hAnsi="Times New Roman" w:hint="eastAsia"/>
                <w:sz w:val="28"/>
                <w:szCs w:val="28"/>
              </w:rPr>
              <w:t>給付結算</w:t>
            </w:r>
            <w:r w:rsidRPr="00676B08">
              <w:rPr>
                <w:rFonts w:ascii="Times New Roman" w:eastAsia="標楷體" w:hAnsi="Times New Roman" w:hint="eastAsia"/>
                <w:sz w:val="28"/>
                <w:szCs w:val="28"/>
              </w:rPr>
              <w:t>者，得免除相關之處置。</w:t>
            </w:r>
          </w:p>
        </w:tc>
        <w:tc>
          <w:tcPr>
            <w:tcW w:w="2500" w:type="pct"/>
            <w:shd w:val="clear" w:color="auto" w:fill="auto"/>
          </w:tcPr>
          <w:p w14:paraId="46F36518" w14:textId="1F494025" w:rsidR="00232EA0" w:rsidRPr="00676B08" w:rsidRDefault="0059553E" w:rsidP="00EC1ED4">
            <w:pPr>
              <w:spacing w:line="0" w:lineRule="atLeast"/>
              <w:jc w:val="both"/>
              <w:rPr>
                <w:rFonts w:ascii="Times New Roman" w:eastAsia="標楷體" w:hAnsi="Times New Roman"/>
                <w:sz w:val="28"/>
                <w:szCs w:val="28"/>
              </w:rPr>
            </w:pPr>
            <w:r w:rsidRPr="00676B08">
              <w:rPr>
                <w:rFonts w:ascii="Times New Roman" w:eastAsia="標楷體" w:hAnsi="Times New Roman" w:hint="eastAsia"/>
                <w:sz w:val="28"/>
                <w:szCs w:val="28"/>
              </w:rPr>
              <w:t>明定</w:t>
            </w:r>
            <w:r w:rsidR="00232EA0" w:rsidRPr="00676B08">
              <w:rPr>
                <w:rFonts w:ascii="Times New Roman" w:eastAsia="標楷體" w:hAnsi="Times New Roman" w:hint="eastAsia"/>
                <w:sz w:val="28"/>
                <w:szCs w:val="28"/>
              </w:rPr>
              <w:t>股票造市</w:t>
            </w:r>
            <w:r w:rsidR="00232EA0" w:rsidRPr="00676B08">
              <w:rPr>
                <w:rFonts w:ascii="Times New Roman" w:eastAsia="標楷體" w:hAnsi="Times New Roman"/>
                <w:sz w:val="28"/>
                <w:szCs w:val="28"/>
              </w:rPr>
              <w:t>者</w:t>
            </w:r>
            <w:r w:rsidR="00232EA0" w:rsidRPr="00676B08">
              <w:rPr>
                <w:rFonts w:ascii="Times New Roman" w:eastAsia="標楷體" w:hAnsi="Times New Roman" w:hint="eastAsia"/>
                <w:sz w:val="28"/>
                <w:szCs w:val="28"/>
              </w:rPr>
              <w:t>及</w:t>
            </w:r>
            <w:r w:rsidR="00B7769E" w:rsidRPr="00676B08">
              <w:rPr>
                <w:rFonts w:ascii="Times New Roman" w:eastAsia="標楷體" w:hAnsi="Times New Roman" w:hint="eastAsia"/>
                <w:sz w:val="28"/>
                <w:szCs w:val="28"/>
              </w:rPr>
              <w:t>交易獎勵參與者</w:t>
            </w:r>
            <w:r w:rsidR="00232EA0" w:rsidRPr="00676B08">
              <w:rPr>
                <w:rFonts w:ascii="Times New Roman" w:eastAsia="標楷體" w:hAnsi="Times New Roman" w:hint="eastAsia"/>
                <w:sz w:val="28"/>
                <w:szCs w:val="28"/>
              </w:rPr>
              <w:t>專戶內之證券得進行買賣相抵</w:t>
            </w:r>
            <w:r w:rsidR="000D479C" w:rsidRPr="00676B08">
              <w:rPr>
                <w:rFonts w:ascii="Times New Roman" w:eastAsia="標楷體" w:hAnsi="Times New Roman" w:hint="eastAsia"/>
                <w:sz w:val="28"/>
                <w:szCs w:val="28"/>
              </w:rPr>
              <w:t>後進行給付結算</w:t>
            </w:r>
            <w:r w:rsidR="00232EA0" w:rsidRPr="00676B08">
              <w:rPr>
                <w:rFonts w:ascii="Times New Roman" w:eastAsia="標楷體" w:hAnsi="Times New Roman" w:hint="eastAsia"/>
                <w:sz w:val="28"/>
                <w:szCs w:val="28"/>
              </w:rPr>
              <w:t>，買賣相抵後仍有賣出餘額而無法應付</w:t>
            </w:r>
            <w:r w:rsidR="000D479C" w:rsidRPr="00676B08">
              <w:rPr>
                <w:rFonts w:ascii="Times New Roman" w:eastAsia="標楷體" w:hAnsi="Times New Roman" w:hint="eastAsia"/>
                <w:sz w:val="28"/>
                <w:szCs w:val="28"/>
              </w:rPr>
              <w:t>給付結算</w:t>
            </w:r>
            <w:r w:rsidR="00232EA0" w:rsidRPr="00676B08">
              <w:rPr>
                <w:rFonts w:ascii="Times New Roman" w:eastAsia="標楷體" w:hAnsi="Times New Roman" w:hint="eastAsia"/>
                <w:sz w:val="28"/>
                <w:szCs w:val="28"/>
              </w:rPr>
              <w:t>數量者，得免除相關處置。</w:t>
            </w:r>
          </w:p>
        </w:tc>
      </w:tr>
      <w:tr w:rsidR="00232EA0" w:rsidRPr="00676B08" w14:paraId="7ACECDE3" w14:textId="77777777" w:rsidTr="00086317">
        <w:tc>
          <w:tcPr>
            <w:tcW w:w="2500" w:type="pct"/>
          </w:tcPr>
          <w:p w14:paraId="3AAD0158" w14:textId="77777777" w:rsidR="00232EA0" w:rsidRPr="00676B08" w:rsidRDefault="00232EA0" w:rsidP="00EC1ED4">
            <w:pPr>
              <w:spacing w:line="0" w:lineRule="atLeast"/>
              <w:ind w:leftChars="1" w:left="534" w:hangingChars="190" w:hanging="532"/>
              <w:jc w:val="both"/>
              <w:rPr>
                <w:rFonts w:ascii="Times New Roman" w:eastAsia="標楷體" w:hAnsi="Times New Roman"/>
                <w:sz w:val="28"/>
                <w:szCs w:val="28"/>
              </w:rPr>
            </w:pPr>
            <w:r w:rsidRPr="00676B08">
              <w:rPr>
                <w:rFonts w:ascii="Times New Roman" w:eastAsia="標楷體" w:hAnsi="Times New Roman" w:hint="eastAsia"/>
                <w:sz w:val="28"/>
                <w:szCs w:val="28"/>
              </w:rPr>
              <w:t>第六條</w:t>
            </w:r>
          </w:p>
          <w:p w14:paraId="4E66B884" w14:textId="0C0120F3" w:rsidR="00232EA0" w:rsidRPr="00676B08" w:rsidRDefault="00232EA0" w:rsidP="00EC1ED4">
            <w:pPr>
              <w:spacing w:line="0" w:lineRule="atLeast"/>
              <w:ind w:firstLineChars="200" w:firstLine="560"/>
              <w:jc w:val="both"/>
              <w:rPr>
                <w:rFonts w:ascii="Times New Roman" w:eastAsia="標楷體" w:hAnsi="Times New Roman"/>
                <w:sz w:val="28"/>
                <w:szCs w:val="28"/>
              </w:rPr>
            </w:pPr>
            <w:r w:rsidRPr="00676B08">
              <w:rPr>
                <w:rFonts w:ascii="Times New Roman" w:eastAsia="標楷體" w:hAnsi="Times New Roman" w:hint="eastAsia"/>
                <w:sz w:val="28"/>
                <w:szCs w:val="28"/>
              </w:rPr>
              <w:t>股票造市</w:t>
            </w:r>
            <w:r w:rsidRPr="00676B08">
              <w:rPr>
                <w:rFonts w:ascii="Times New Roman" w:eastAsia="標楷體" w:hAnsi="Times New Roman"/>
                <w:sz w:val="28"/>
                <w:szCs w:val="28"/>
              </w:rPr>
              <w:t>者</w:t>
            </w:r>
            <w:r w:rsidRPr="00676B08">
              <w:rPr>
                <w:rFonts w:ascii="Times New Roman" w:eastAsia="標楷體" w:hAnsi="Times New Roman" w:hint="eastAsia"/>
                <w:sz w:val="28"/>
                <w:szCs w:val="28"/>
              </w:rPr>
              <w:t>及</w:t>
            </w:r>
            <w:r w:rsidR="00B7769E" w:rsidRPr="00676B08">
              <w:rPr>
                <w:rFonts w:ascii="Times New Roman" w:eastAsia="標楷體" w:hAnsi="Times New Roman" w:hint="eastAsia"/>
                <w:sz w:val="28"/>
                <w:szCs w:val="28"/>
              </w:rPr>
              <w:t>交易獎勵參與者</w:t>
            </w:r>
            <w:r w:rsidRPr="00676B08">
              <w:rPr>
                <w:rFonts w:ascii="Times New Roman" w:eastAsia="標楷體" w:hAnsi="Times New Roman" w:hint="eastAsia"/>
                <w:sz w:val="28"/>
                <w:szCs w:val="28"/>
              </w:rPr>
              <w:t>之業務服務費折讓優惠，其條件與折讓標準由本中心另訂之。</w:t>
            </w:r>
          </w:p>
        </w:tc>
        <w:tc>
          <w:tcPr>
            <w:tcW w:w="2500" w:type="pct"/>
          </w:tcPr>
          <w:p w14:paraId="55C17C6A" w14:textId="696C744A" w:rsidR="00232EA0" w:rsidRPr="00676B08" w:rsidRDefault="00232EA0" w:rsidP="00EC1ED4">
            <w:pPr>
              <w:spacing w:line="0" w:lineRule="atLeast"/>
              <w:jc w:val="both"/>
              <w:rPr>
                <w:rFonts w:ascii="Times New Roman" w:eastAsia="標楷體" w:hAnsi="Times New Roman"/>
                <w:sz w:val="28"/>
                <w:szCs w:val="28"/>
              </w:rPr>
            </w:pPr>
            <w:r w:rsidRPr="00676B08">
              <w:rPr>
                <w:rFonts w:ascii="Times New Roman" w:eastAsia="標楷體" w:hAnsi="Times New Roman" w:hint="eastAsia"/>
                <w:sz w:val="28"/>
                <w:szCs w:val="28"/>
              </w:rPr>
              <w:t>為獎勵績效良好之股票造市</w:t>
            </w:r>
            <w:r w:rsidRPr="00676B08">
              <w:rPr>
                <w:rFonts w:ascii="Times New Roman" w:eastAsia="標楷體" w:hAnsi="Times New Roman"/>
                <w:sz w:val="28"/>
                <w:szCs w:val="28"/>
              </w:rPr>
              <w:t>者</w:t>
            </w:r>
            <w:r w:rsidRPr="00676B08">
              <w:rPr>
                <w:rFonts w:ascii="Times New Roman" w:eastAsia="標楷體" w:hAnsi="Times New Roman" w:hint="eastAsia"/>
                <w:sz w:val="28"/>
                <w:szCs w:val="28"/>
              </w:rPr>
              <w:t>及</w:t>
            </w:r>
            <w:r w:rsidR="00B7769E" w:rsidRPr="00676B08">
              <w:rPr>
                <w:rFonts w:ascii="Times New Roman" w:eastAsia="標楷體" w:hAnsi="Times New Roman" w:hint="eastAsia"/>
                <w:sz w:val="28"/>
                <w:szCs w:val="28"/>
              </w:rPr>
              <w:t>交易獎勵參與者</w:t>
            </w:r>
            <w:r w:rsidR="0059553E" w:rsidRPr="00676B08">
              <w:rPr>
                <w:rFonts w:ascii="Times New Roman" w:eastAsia="標楷體" w:hAnsi="Times New Roman" w:hint="eastAsia"/>
                <w:sz w:val="28"/>
                <w:szCs w:val="28"/>
              </w:rPr>
              <w:t>，明定</w:t>
            </w:r>
            <w:r w:rsidRPr="00676B08">
              <w:rPr>
                <w:rFonts w:ascii="Times New Roman" w:eastAsia="標楷體" w:hAnsi="Times New Roman" w:hint="eastAsia"/>
                <w:sz w:val="28"/>
                <w:szCs w:val="28"/>
              </w:rPr>
              <w:t>業務服務費折讓優惠之依據。</w:t>
            </w:r>
          </w:p>
        </w:tc>
      </w:tr>
      <w:tr w:rsidR="00232EA0" w:rsidRPr="00676B08" w14:paraId="0FDFEFAB" w14:textId="77777777" w:rsidTr="00086317">
        <w:tc>
          <w:tcPr>
            <w:tcW w:w="2500" w:type="pct"/>
          </w:tcPr>
          <w:p w14:paraId="7BBC6411" w14:textId="77777777" w:rsidR="00232EA0" w:rsidRPr="00676B08" w:rsidRDefault="00232EA0" w:rsidP="00EC1ED4">
            <w:pPr>
              <w:spacing w:line="0" w:lineRule="atLeast"/>
              <w:ind w:leftChars="1" w:left="534" w:hangingChars="190" w:hanging="532"/>
              <w:jc w:val="both"/>
              <w:rPr>
                <w:rFonts w:ascii="Times New Roman" w:eastAsia="標楷體" w:hAnsi="Times New Roman"/>
                <w:sz w:val="28"/>
                <w:szCs w:val="28"/>
              </w:rPr>
            </w:pPr>
            <w:r w:rsidRPr="00676B08">
              <w:rPr>
                <w:rFonts w:ascii="Times New Roman" w:eastAsia="標楷體" w:hAnsi="Times New Roman" w:hint="eastAsia"/>
                <w:sz w:val="28"/>
                <w:szCs w:val="28"/>
              </w:rPr>
              <w:t>第七條</w:t>
            </w:r>
          </w:p>
          <w:p w14:paraId="03DB2BAA" w14:textId="0557CC4D" w:rsidR="00232EA0" w:rsidRPr="00676B08" w:rsidRDefault="00232EA0" w:rsidP="00EC1ED4">
            <w:pPr>
              <w:spacing w:line="0" w:lineRule="atLeast"/>
              <w:ind w:firstLineChars="200" w:firstLine="560"/>
              <w:jc w:val="both"/>
              <w:rPr>
                <w:rFonts w:ascii="Times New Roman" w:eastAsia="標楷體" w:hAnsi="Times New Roman"/>
                <w:sz w:val="28"/>
                <w:szCs w:val="28"/>
              </w:rPr>
            </w:pPr>
            <w:r w:rsidRPr="00676B08">
              <w:rPr>
                <w:rFonts w:ascii="Times New Roman" w:eastAsia="標楷體" w:hAnsi="Times New Roman" w:hint="eastAsia"/>
                <w:sz w:val="28"/>
                <w:szCs w:val="28"/>
              </w:rPr>
              <w:t>本辦法經報請主管機關備查後公告實施，修正時亦同。</w:t>
            </w:r>
          </w:p>
        </w:tc>
        <w:tc>
          <w:tcPr>
            <w:tcW w:w="2500" w:type="pct"/>
          </w:tcPr>
          <w:p w14:paraId="0A26DC59" w14:textId="77777777" w:rsidR="00232EA0" w:rsidRPr="00676B08" w:rsidRDefault="00232EA0" w:rsidP="00EC1ED4">
            <w:pPr>
              <w:spacing w:line="0" w:lineRule="atLeast"/>
              <w:jc w:val="both"/>
              <w:rPr>
                <w:rFonts w:ascii="Times New Roman" w:eastAsia="標楷體" w:hAnsi="Times New Roman"/>
                <w:sz w:val="28"/>
                <w:szCs w:val="28"/>
              </w:rPr>
            </w:pPr>
            <w:r w:rsidRPr="00676B08">
              <w:rPr>
                <w:rFonts w:ascii="Times New Roman" w:eastAsia="標楷體" w:hAnsi="Times New Roman" w:hint="eastAsia"/>
                <w:sz w:val="28"/>
                <w:szCs w:val="28"/>
              </w:rPr>
              <w:t>明定本標準</w:t>
            </w:r>
            <w:r w:rsidRPr="00676B08">
              <w:rPr>
                <w:rFonts w:ascii="Times New Roman" w:eastAsia="標楷體" w:hAnsi="Times New Roman" w:cs="新細明體" w:hint="eastAsia"/>
                <w:sz w:val="28"/>
                <w:szCs w:val="28"/>
              </w:rPr>
              <w:t>之施行及修正程序。</w:t>
            </w:r>
          </w:p>
        </w:tc>
      </w:tr>
    </w:tbl>
    <w:p w14:paraId="1CFA227A" w14:textId="77777777" w:rsidR="00036EAD" w:rsidRPr="00676B08" w:rsidRDefault="00036EAD" w:rsidP="00BE7AF7">
      <w:pPr>
        <w:rPr>
          <w:rFonts w:ascii="Times New Roman" w:eastAsia="標楷體" w:hAnsi="Times New Roman"/>
          <w:sz w:val="28"/>
          <w:szCs w:val="28"/>
        </w:rPr>
      </w:pPr>
    </w:p>
    <w:sectPr w:rsidR="00036EAD" w:rsidRPr="00676B08" w:rsidSect="0069264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84358" w14:textId="77777777" w:rsidR="00EA25A5" w:rsidRDefault="00EA25A5">
      <w:r>
        <w:separator/>
      </w:r>
    </w:p>
  </w:endnote>
  <w:endnote w:type="continuationSeparator" w:id="0">
    <w:p w14:paraId="00BE343B" w14:textId="77777777" w:rsidR="00EA25A5" w:rsidRDefault="00EA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AD154" w14:textId="77777777" w:rsidR="00E80136" w:rsidRPr="00206F4E" w:rsidRDefault="00E80136" w:rsidP="00206F4E">
    <w:pPr>
      <w:pStyle w:val="a3"/>
      <w:jc w:val="center"/>
      <w:rPr>
        <w:rFonts w:ascii="Times New Roman" w:hAnsi="Times New Roman"/>
      </w:rPr>
    </w:pPr>
    <w:r w:rsidRPr="00206F4E">
      <w:rPr>
        <w:rFonts w:ascii="Times New Roman" w:hAnsi="Times New Roman"/>
      </w:rPr>
      <w:fldChar w:fldCharType="begin"/>
    </w:r>
    <w:r w:rsidRPr="00206F4E">
      <w:rPr>
        <w:rFonts w:ascii="Times New Roman" w:hAnsi="Times New Roman"/>
      </w:rPr>
      <w:instrText xml:space="preserve"> PAGE   \* MERGEFORMAT </w:instrText>
    </w:r>
    <w:r w:rsidRPr="00206F4E">
      <w:rPr>
        <w:rFonts w:ascii="Times New Roman" w:hAnsi="Times New Roman"/>
      </w:rPr>
      <w:fldChar w:fldCharType="separate"/>
    </w:r>
    <w:r w:rsidR="00CF171D" w:rsidRPr="00CF171D">
      <w:rPr>
        <w:rFonts w:ascii="Times New Roman" w:hAnsi="Times New Roman"/>
        <w:noProof/>
        <w:lang w:val="zh-TW"/>
      </w:rPr>
      <w:t>1</w:t>
    </w:r>
    <w:r w:rsidRPr="00206F4E">
      <w:rPr>
        <w:rFonts w:ascii="Times New Roman" w:hAnsi="Times New Roman"/>
        <w:noProof/>
        <w:lang w:val="zh-TW"/>
      </w:rPr>
      <w:fldChar w:fldCharType="end"/>
    </w:r>
  </w:p>
  <w:p w14:paraId="199D62D4" w14:textId="77777777" w:rsidR="00E80136" w:rsidRDefault="00E801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3C2EB" w14:textId="77777777" w:rsidR="00EA25A5" w:rsidRDefault="00EA25A5">
      <w:r>
        <w:separator/>
      </w:r>
    </w:p>
  </w:footnote>
  <w:footnote w:type="continuationSeparator" w:id="0">
    <w:p w14:paraId="0A381578" w14:textId="77777777" w:rsidR="00EA25A5" w:rsidRDefault="00EA2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D7B"/>
    <w:rsid w:val="00017AD3"/>
    <w:rsid w:val="0002700E"/>
    <w:rsid w:val="00027A1D"/>
    <w:rsid w:val="000352EB"/>
    <w:rsid w:val="00036EAD"/>
    <w:rsid w:val="00055C76"/>
    <w:rsid w:val="000568C3"/>
    <w:rsid w:val="00060530"/>
    <w:rsid w:val="00086317"/>
    <w:rsid w:val="00091598"/>
    <w:rsid w:val="00092C3D"/>
    <w:rsid w:val="000A379A"/>
    <w:rsid w:val="000B2368"/>
    <w:rsid w:val="000C4615"/>
    <w:rsid w:val="000C6725"/>
    <w:rsid w:val="000D20B2"/>
    <w:rsid w:val="000D479C"/>
    <w:rsid w:val="000E4DB8"/>
    <w:rsid w:val="000E6063"/>
    <w:rsid w:val="000F4684"/>
    <w:rsid w:val="001072B0"/>
    <w:rsid w:val="001076C3"/>
    <w:rsid w:val="0011190F"/>
    <w:rsid w:val="001150CB"/>
    <w:rsid w:val="0011582C"/>
    <w:rsid w:val="00116F49"/>
    <w:rsid w:val="0013779F"/>
    <w:rsid w:val="0014044E"/>
    <w:rsid w:val="001519C7"/>
    <w:rsid w:val="00153D51"/>
    <w:rsid w:val="00167D7D"/>
    <w:rsid w:val="00193033"/>
    <w:rsid w:val="0019655E"/>
    <w:rsid w:val="001A26D6"/>
    <w:rsid w:val="001A67BA"/>
    <w:rsid w:val="001B3205"/>
    <w:rsid w:val="001C3414"/>
    <w:rsid w:val="001C71DD"/>
    <w:rsid w:val="001C7C13"/>
    <w:rsid w:val="001D0AC5"/>
    <w:rsid w:val="001E0279"/>
    <w:rsid w:val="001E0590"/>
    <w:rsid w:val="001F28D3"/>
    <w:rsid w:val="001F4F7B"/>
    <w:rsid w:val="00206F4E"/>
    <w:rsid w:val="00232EA0"/>
    <w:rsid w:val="002334A0"/>
    <w:rsid w:val="002464D5"/>
    <w:rsid w:val="00266150"/>
    <w:rsid w:val="00275226"/>
    <w:rsid w:val="00282AB7"/>
    <w:rsid w:val="002837B9"/>
    <w:rsid w:val="002B0CC1"/>
    <w:rsid w:val="002C2B07"/>
    <w:rsid w:val="002C527B"/>
    <w:rsid w:val="002E18A3"/>
    <w:rsid w:val="002E589C"/>
    <w:rsid w:val="002F24E8"/>
    <w:rsid w:val="002F7505"/>
    <w:rsid w:val="00300439"/>
    <w:rsid w:val="00320953"/>
    <w:rsid w:val="00321B63"/>
    <w:rsid w:val="00326FEA"/>
    <w:rsid w:val="0033466D"/>
    <w:rsid w:val="00340691"/>
    <w:rsid w:val="00355790"/>
    <w:rsid w:val="00364377"/>
    <w:rsid w:val="00371751"/>
    <w:rsid w:val="00380831"/>
    <w:rsid w:val="00380C33"/>
    <w:rsid w:val="00382785"/>
    <w:rsid w:val="00384D6F"/>
    <w:rsid w:val="00396A06"/>
    <w:rsid w:val="003A5E43"/>
    <w:rsid w:val="003B6CBD"/>
    <w:rsid w:val="003B7B1E"/>
    <w:rsid w:val="003C0D7B"/>
    <w:rsid w:val="003D26D5"/>
    <w:rsid w:val="003E55FF"/>
    <w:rsid w:val="003E60CA"/>
    <w:rsid w:val="003E6D5C"/>
    <w:rsid w:val="003F019F"/>
    <w:rsid w:val="00404BC3"/>
    <w:rsid w:val="00422334"/>
    <w:rsid w:val="0042447C"/>
    <w:rsid w:val="00427EA7"/>
    <w:rsid w:val="00432241"/>
    <w:rsid w:val="00432472"/>
    <w:rsid w:val="00432EFF"/>
    <w:rsid w:val="0044438E"/>
    <w:rsid w:val="00445EA8"/>
    <w:rsid w:val="0045595F"/>
    <w:rsid w:val="004653EA"/>
    <w:rsid w:val="00465891"/>
    <w:rsid w:val="00471291"/>
    <w:rsid w:val="004775E2"/>
    <w:rsid w:val="00494EE9"/>
    <w:rsid w:val="0049589D"/>
    <w:rsid w:val="004A1330"/>
    <w:rsid w:val="004A17D2"/>
    <w:rsid w:val="004A1FB3"/>
    <w:rsid w:val="004A2592"/>
    <w:rsid w:val="004A3405"/>
    <w:rsid w:val="004B2D2B"/>
    <w:rsid w:val="004B4763"/>
    <w:rsid w:val="004D751F"/>
    <w:rsid w:val="004E318F"/>
    <w:rsid w:val="004F2B3C"/>
    <w:rsid w:val="0050396A"/>
    <w:rsid w:val="00503DC9"/>
    <w:rsid w:val="0051614F"/>
    <w:rsid w:val="005162A7"/>
    <w:rsid w:val="005508DA"/>
    <w:rsid w:val="00553F15"/>
    <w:rsid w:val="0055701A"/>
    <w:rsid w:val="005624E9"/>
    <w:rsid w:val="00571FD5"/>
    <w:rsid w:val="00583AA6"/>
    <w:rsid w:val="00586345"/>
    <w:rsid w:val="0059553E"/>
    <w:rsid w:val="005A02AF"/>
    <w:rsid w:val="005A13DE"/>
    <w:rsid w:val="005D0A5C"/>
    <w:rsid w:val="005D1AB2"/>
    <w:rsid w:val="005D2A50"/>
    <w:rsid w:val="005F4790"/>
    <w:rsid w:val="005F4B76"/>
    <w:rsid w:val="00600E0F"/>
    <w:rsid w:val="0060182E"/>
    <w:rsid w:val="00602BE1"/>
    <w:rsid w:val="00602C35"/>
    <w:rsid w:val="00603532"/>
    <w:rsid w:val="00611005"/>
    <w:rsid w:val="00613111"/>
    <w:rsid w:val="00625A21"/>
    <w:rsid w:val="00647111"/>
    <w:rsid w:val="00647B76"/>
    <w:rsid w:val="0065005E"/>
    <w:rsid w:val="00650E84"/>
    <w:rsid w:val="006613D3"/>
    <w:rsid w:val="006769AC"/>
    <w:rsid w:val="00676B08"/>
    <w:rsid w:val="00681A57"/>
    <w:rsid w:val="00685B30"/>
    <w:rsid w:val="0069006B"/>
    <w:rsid w:val="00692646"/>
    <w:rsid w:val="006A7591"/>
    <w:rsid w:val="006F09C8"/>
    <w:rsid w:val="006F5979"/>
    <w:rsid w:val="006F5A4F"/>
    <w:rsid w:val="007015E3"/>
    <w:rsid w:val="00707D6D"/>
    <w:rsid w:val="00723AFA"/>
    <w:rsid w:val="007307D8"/>
    <w:rsid w:val="00730A4F"/>
    <w:rsid w:val="00732C50"/>
    <w:rsid w:val="00742B07"/>
    <w:rsid w:val="00742B9C"/>
    <w:rsid w:val="00753628"/>
    <w:rsid w:val="00753BE0"/>
    <w:rsid w:val="00755EB5"/>
    <w:rsid w:val="00761137"/>
    <w:rsid w:val="007717CF"/>
    <w:rsid w:val="00772EBB"/>
    <w:rsid w:val="00773779"/>
    <w:rsid w:val="0078221A"/>
    <w:rsid w:val="00784E67"/>
    <w:rsid w:val="0078542F"/>
    <w:rsid w:val="007A1210"/>
    <w:rsid w:val="007B1D8F"/>
    <w:rsid w:val="007B3DA0"/>
    <w:rsid w:val="007B7626"/>
    <w:rsid w:val="007C1AA4"/>
    <w:rsid w:val="007C6272"/>
    <w:rsid w:val="007F2F1E"/>
    <w:rsid w:val="00811D40"/>
    <w:rsid w:val="00820C66"/>
    <w:rsid w:val="00823243"/>
    <w:rsid w:val="00827414"/>
    <w:rsid w:val="00833DC7"/>
    <w:rsid w:val="008362AF"/>
    <w:rsid w:val="00845322"/>
    <w:rsid w:val="00855351"/>
    <w:rsid w:val="00855CAE"/>
    <w:rsid w:val="0085679B"/>
    <w:rsid w:val="00887445"/>
    <w:rsid w:val="00887E87"/>
    <w:rsid w:val="0089692D"/>
    <w:rsid w:val="008A3426"/>
    <w:rsid w:val="008A5E04"/>
    <w:rsid w:val="008C265D"/>
    <w:rsid w:val="008D10AB"/>
    <w:rsid w:val="008D3F30"/>
    <w:rsid w:val="0092599E"/>
    <w:rsid w:val="0094616B"/>
    <w:rsid w:val="00951270"/>
    <w:rsid w:val="00957CB4"/>
    <w:rsid w:val="009616F9"/>
    <w:rsid w:val="009770C2"/>
    <w:rsid w:val="00981704"/>
    <w:rsid w:val="00983509"/>
    <w:rsid w:val="0099792A"/>
    <w:rsid w:val="009A1DA7"/>
    <w:rsid w:val="009A2DED"/>
    <w:rsid w:val="009A4A8E"/>
    <w:rsid w:val="009A7AEC"/>
    <w:rsid w:val="009B2D8B"/>
    <w:rsid w:val="009B35F0"/>
    <w:rsid w:val="009B7C3A"/>
    <w:rsid w:val="009C4228"/>
    <w:rsid w:val="009C476F"/>
    <w:rsid w:val="009D27BE"/>
    <w:rsid w:val="009E0F08"/>
    <w:rsid w:val="009E1DCA"/>
    <w:rsid w:val="009E4B52"/>
    <w:rsid w:val="009F23DA"/>
    <w:rsid w:val="00A066DE"/>
    <w:rsid w:val="00A11E78"/>
    <w:rsid w:val="00A377A3"/>
    <w:rsid w:val="00A37D0C"/>
    <w:rsid w:val="00A45667"/>
    <w:rsid w:val="00A45A52"/>
    <w:rsid w:val="00A45B7C"/>
    <w:rsid w:val="00A6751F"/>
    <w:rsid w:val="00A72766"/>
    <w:rsid w:val="00A82A28"/>
    <w:rsid w:val="00A90C9C"/>
    <w:rsid w:val="00AA41BE"/>
    <w:rsid w:val="00AA42AC"/>
    <w:rsid w:val="00AB4C9C"/>
    <w:rsid w:val="00AC2B42"/>
    <w:rsid w:val="00AC49AE"/>
    <w:rsid w:val="00AC7760"/>
    <w:rsid w:val="00AC7FE3"/>
    <w:rsid w:val="00AD266B"/>
    <w:rsid w:val="00AD346D"/>
    <w:rsid w:val="00AD603F"/>
    <w:rsid w:val="00AE4112"/>
    <w:rsid w:val="00AE67BE"/>
    <w:rsid w:val="00AF078A"/>
    <w:rsid w:val="00AF2FED"/>
    <w:rsid w:val="00AF364E"/>
    <w:rsid w:val="00AF77CE"/>
    <w:rsid w:val="00B30E02"/>
    <w:rsid w:val="00B33AB0"/>
    <w:rsid w:val="00B3495F"/>
    <w:rsid w:val="00B7769E"/>
    <w:rsid w:val="00B817DA"/>
    <w:rsid w:val="00B90BBC"/>
    <w:rsid w:val="00BA440E"/>
    <w:rsid w:val="00BB3879"/>
    <w:rsid w:val="00BD18FC"/>
    <w:rsid w:val="00BD218C"/>
    <w:rsid w:val="00BE3E1F"/>
    <w:rsid w:val="00BE7AF7"/>
    <w:rsid w:val="00BF1C1F"/>
    <w:rsid w:val="00BF7237"/>
    <w:rsid w:val="00C06712"/>
    <w:rsid w:val="00C07FEE"/>
    <w:rsid w:val="00C13C0B"/>
    <w:rsid w:val="00C143FD"/>
    <w:rsid w:val="00C1671F"/>
    <w:rsid w:val="00C17B7D"/>
    <w:rsid w:val="00C268FE"/>
    <w:rsid w:val="00C33A93"/>
    <w:rsid w:val="00C360C8"/>
    <w:rsid w:val="00C478DB"/>
    <w:rsid w:val="00C51D61"/>
    <w:rsid w:val="00C66D44"/>
    <w:rsid w:val="00C70253"/>
    <w:rsid w:val="00C77AB6"/>
    <w:rsid w:val="00C80181"/>
    <w:rsid w:val="00C83B29"/>
    <w:rsid w:val="00C90B8C"/>
    <w:rsid w:val="00C94CD8"/>
    <w:rsid w:val="00C9789C"/>
    <w:rsid w:val="00CA030D"/>
    <w:rsid w:val="00CD1506"/>
    <w:rsid w:val="00CF171D"/>
    <w:rsid w:val="00CF5196"/>
    <w:rsid w:val="00D02671"/>
    <w:rsid w:val="00D13BDE"/>
    <w:rsid w:val="00D24284"/>
    <w:rsid w:val="00D4585F"/>
    <w:rsid w:val="00D52EF8"/>
    <w:rsid w:val="00D66603"/>
    <w:rsid w:val="00D704AF"/>
    <w:rsid w:val="00D70F51"/>
    <w:rsid w:val="00D7546D"/>
    <w:rsid w:val="00D764DD"/>
    <w:rsid w:val="00D96964"/>
    <w:rsid w:val="00D97E98"/>
    <w:rsid w:val="00DA033E"/>
    <w:rsid w:val="00DA3281"/>
    <w:rsid w:val="00DE16B6"/>
    <w:rsid w:val="00DE6B82"/>
    <w:rsid w:val="00E059D0"/>
    <w:rsid w:val="00E17DE5"/>
    <w:rsid w:val="00E22995"/>
    <w:rsid w:val="00E31AA6"/>
    <w:rsid w:val="00E36DF0"/>
    <w:rsid w:val="00E4102B"/>
    <w:rsid w:val="00E52A13"/>
    <w:rsid w:val="00E61DEB"/>
    <w:rsid w:val="00E66D27"/>
    <w:rsid w:val="00E74445"/>
    <w:rsid w:val="00E768CC"/>
    <w:rsid w:val="00E7738E"/>
    <w:rsid w:val="00E80136"/>
    <w:rsid w:val="00E86C31"/>
    <w:rsid w:val="00E9032D"/>
    <w:rsid w:val="00E93899"/>
    <w:rsid w:val="00E95F0F"/>
    <w:rsid w:val="00EA25A5"/>
    <w:rsid w:val="00EA2E2E"/>
    <w:rsid w:val="00EA3748"/>
    <w:rsid w:val="00EA7E0B"/>
    <w:rsid w:val="00EB0FEF"/>
    <w:rsid w:val="00EB3B4B"/>
    <w:rsid w:val="00EC1ED4"/>
    <w:rsid w:val="00EC1EFE"/>
    <w:rsid w:val="00ED1A65"/>
    <w:rsid w:val="00ED33CC"/>
    <w:rsid w:val="00EF22FD"/>
    <w:rsid w:val="00F13C96"/>
    <w:rsid w:val="00F1458E"/>
    <w:rsid w:val="00F21994"/>
    <w:rsid w:val="00F32A29"/>
    <w:rsid w:val="00F507A8"/>
    <w:rsid w:val="00F50C7B"/>
    <w:rsid w:val="00F80693"/>
    <w:rsid w:val="00F9372A"/>
    <w:rsid w:val="00FB0E71"/>
    <w:rsid w:val="00FB3974"/>
    <w:rsid w:val="00FB75E9"/>
    <w:rsid w:val="00FC0462"/>
    <w:rsid w:val="00FC40B4"/>
    <w:rsid w:val="00FC4A14"/>
    <w:rsid w:val="00FC4FF5"/>
    <w:rsid w:val="00FC62F2"/>
    <w:rsid w:val="00FD091F"/>
    <w:rsid w:val="00FD5224"/>
    <w:rsid w:val="00FD7A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A8CEE"/>
  <w15:chartTrackingRefBased/>
  <w15:docId w15:val="{11B2407E-E4C9-4A54-8099-208045FC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D7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3C0D7B"/>
    <w:pPr>
      <w:tabs>
        <w:tab w:val="center" w:pos="4153"/>
        <w:tab w:val="right" w:pos="8306"/>
      </w:tabs>
      <w:snapToGrid w:val="0"/>
    </w:pPr>
    <w:rPr>
      <w:sz w:val="20"/>
      <w:szCs w:val="20"/>
    </w:rPr>
  </w:style>
  <w:style w:type="character" w:customStyle="1" w:styleId="a4">
    <w:name w:val="頁尾 字元"/>
    <w:basedOn w:val="a0"/>
    <w:link w:val="a3"/>
    <w:rsid w:val="003C0D7B"/>
    <w:rPr>
      <w:rFonts w:ascii="Calibri" w:eastAsia="新細明體" w:hAnsi="Calibri" w:cs="Times New Roman"/>
      <w:sz w:val="20"/>
      <w:szCs w:val="20"/>
    </w:rPr>
  </w:style>
  <w:style w:type="paragraph" w:styleId="a5">
    <w:name w:val="header"/>
    <w:basedOn w:val="a"/>
    <w:link w:val="a6"/>
    <w:uiPriority w:val="99"/>
    <w:unhideWhenUsed/>
    <w:rsid w:val="00FB0E71"/>
    <w:pPr>
      <w:tabs>
        <w:tab w:val="center" w:pos="4153"/>
        <w:tab w:val="right" w:pos="8306"/>
      </w:tabs>
      <w:snapToGrid w:val="0"/>
    </w:pPr>
    <w:rPr>
      <w:sz w:val="20"/>
      <w:szCs w:val="20"/>
    </w:rPr>
  </w:style>
  <w:style w:type="character" w:customStyle="1" w:styleId="a6">
    <w:name w:val="頁首 字元"/>
    <w:basedOn w:val="a0"/>
    <w:link w:val="a5"/>
    <w:uiPriority w:val="99"/>
    <w:rsid w:val="00FB0E71"/>
    <w:rPr>
      <w:rFonts w:ascii="Calibri" w:eastAsia="新細明體" w:hAnsi="Calibri" w:cs="Times New Roman"/>
      <w:sz w:val="20"/>
      <w:szCs w:val="20"/>
    </w:rPr>
  </w:style>
  <w:style w:type="paragraph" w:styleId="a7">
    <w:name w:val="Balloon Text"/>
    <w:basedOn w:val="a"/>
    <w:link w:val="a8"/>
    <w:uiPriority w:val="99"/>
    <w:semiHidden/>
    <w:unhideWhenUsed/>
    <w:rsid w:val="00206F4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06F4E"/>
    <w:rPr>
      <w:rFonts w:asciiTheme="majorHAnsi" w:eastAsiaTheme="majorEastAsia" w:hAnsiTheme="majorHAnsi" w:cstheme="majorBidi"/>
      <w:sz w:val="18"/>
      <w:szCs w:val="18"/>
    </w:rPr>
  </w:style>
  <w:style w:type="character" w:styleId="a9">
    <w:name w:val="Placeholder Text"/>
    <w:basedOn w:val="a0"/>
    <w:uiPriority w:val="99"/>
    <w:semiHidden/>
    <w:rsid w:val="00AD26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5511">
      <w:bodyDiv w:val="1"/>
      <w:marLeft w:val="0"/>
      <w:marRight w:val="0"/>
      <w:marTop w:val="0"/>
      <w:marBottom w:val="0"/>
      <w:divBdr>
        <w:top w:val="none" w:sz="0" w:space="0" w:color="auto"/>
        <w:left w:val="none" w:sz="0" w:space="0" w:color="auto"/>
        <w:bottom w:val="none" w:sz="0" w:space="0" w:color="auto"/>
        <w:right w:val="none" w:sz="0" w:space="0" w:color="auto"/>
      </w:divBdr>
    </w:div>
    <w:div w:id="88698546">
      <w:bodyDiv w:val="1"/>
      <w:marLeft w:val="0"/>
      <w:marRight w:val="0"/>
      <w:marTop w:val="0"/>
      <w:marBottom w:val="0"/>
      <w:divBdr>
        <w:top w:val="none" w:sz="0" w:space="0" w:color="auto"/>
        <w:left w:val="none" w:sz="0" w:space="0" w:color="auto"/>
        <w:bottom w:val="none" w:sz="0" w:space="0" w:color="auto"/>
        <w:right w:val="none" w:sz="0" w:space="0" w:color="auto"/>
      </w:divBdr>
    </w:div>
    <w:div w:id="207029578">
      <w:bodyDiv w:val="1"/>
      <w:marLeft w:val="0"/>
      <w:marRight w:val="0"/>
      <w:marTop w:val="0"/>
      <w:marBottom w:val="0"/>
      <w:divBdr>
        <w:top w:val="none" w:sz="0" w:space="0" w:color="auto"/>
        <w:left w:val="none" w:sz="0" w:space="0" w:color="auto"/>
        <w:bottom w:val="none" w:sz="0" w:space="0" w:color="auto"/>
        <w:right w:val="none" w:sz="0" w:space="0" w:color="auto"/>
      </w:divBdr>
    </w:div>
    <w:div w:id="654725121">
      <w:bodyDiv w:val="1"/>
      <w:marLeft w:val="0"/>
      <w:marRight w:val="0"/>
      <w:marTop w:val="0"/>
      <w:marBottom w:val="0"/>
      <w:divBdr>
        <w:top w:val="none" w:sz="0" w:space="0" w:color="auto"/>
        <w:left w:val="none" w:sz="0" w:space="0" w:color="auto"/>
        <w:bottom w:val="none" w:sz="0" w:space="0" w:color="auto"/>
        <w:right w:val="none" w:sz="0" w:space="0" w:color="auto"/>
      </w:divBdr>
    </w:div>
    <w:div w:id="761560801">
      <w:bodyDiv w:val="1"/>
      <w:marLeft w:val="0"/>
      <w:marRight w:val="0"/>
      <w:marTop w:val="0"/>
      <w:marBottom w:val="0"/>
      <w:divBdr>
        <w:top w:val="none" w:sz="0" w:space="0" w:color="auto"/>
        <w:left w:val="none" w:sz="0" w:space="0" w:color="auto"/>
        <w:bottom w:val="none" w:sz="0" w:space="0" w:color="auto"/>
        <w:right w:val="none" w:sz="0" w:space="0" w:color="auto"/>
      </w:divBdr>
    </w:div>
    <w:div w:id="829491709">
      <w:bodyDiv w:val="1"/>
      <w:marLeft w:val="0"/>
      <w:marRight w:val="0"/>
      <w:marTop w:val="0"/>
      <w:marBottom w:val="0"/>
      <w:divBdr>
        <w:top w:val="none" w:sz="0" w:space="0" w:color="auto"/>
        <w:left w:val="none" w:sz="0" w:space="0" w:color="auto"/>
        <w:bottom w:val="none" w:sz="0" w:space="0" w:color="auto"/>
        <w:right w:val="none" w:sz="0" w:space="0" w:color="auto"/>
      </w:divBdr>
    </w:div>
    <w:div w:id="905800257">
      <w:bodyDiv w:val="1"/>
      <w:marLeft w:val="0"/>
      <w:marRight w:val="0"/>
      <w:marTop w:val="0"/>
      <w:marBottom w:val="0"/>
      <w:divBdr>
        <w:top w:val="none" w:sz="0" w:space="0" w:color="auto"/>
        <w:left w:val="none" w:sz="0" w:space="0" w:color="auto"/>
        <w:bottom w:val="none" w:sz="0" w:space="0" w:color="auto"/>
        <w:right w:val="none" w:sz="0" w:space="0" w:color="auto"/>
      </w:divBdr>
    </w:div>
    <w:div w:id="976303326">
      <w:bodyDiv w:val="1"/>
      <w:marLeft w:val="0"/>
      <w:marRight w:val="0"/>
      <w:marTop w:val="0"/>
      <w:marBottom w:val="0"/>
      <w:divBdr>
        <w:top w:val="none" w:sz="0" w:space="0" w:color="auto"/>
        <w:left w:val="none" w:sz="0" w:space="0" w:color="auto"/>
        <w:bottom w:val="none" w:sz="0" w:space="0" w:color="auto"/>
        <w:right w:val="none" w:sz="0" w:space="0" w:color="auto"/>
      </w:divBdr>
    </w:div>
    <w:div w:id="1333099428">
      <w:bodyDiv w:val="1"/>
      <w:marLeft w:val="0"/>
      <w:marRight w:val="0"/>
      <w:marTop w:val="0"/>
      <w:marBottom w:val="0"/>
      <w:divBdr>
        <w:top w:val="none" w:sz="0" w:space="0" w:color="auto"/>
        <w:left w:val="none" w:sz="0" w:space="0" w:color="auto"/>
        <w:bottom w:val="none" w:sz="0" w:space="0" w:color="auto"/>
        <w:right w:val="none" w:sz="0" w:space="0" w:color="auto"/>
      </w:divBdr>
    </w:div>
    <w:div w:id="1435900531">
      <w:bodyDiv w:val="1"/>
      <w:marLeft w:val="0"/>
      <w:marRight w:val="0"/>
      <w:marTop w:val="0"/>
      <w:marBottom w:val="0"/>
      <w:divBdr>
        <w:top w:val="none" w:sz="0" w:space="0" w:color="auto"/>
        <w:left w:val="none" w:sz="0" w:space="0" w:color="auto"/>
        <w:bottom w:val="none" w:sz="0" w:space="0" w:color="auto"/>
        <w:right w:val="none" w:sz="0" w:space="0" w:color="auto"/>
      </w:divBdr>
    </w:div>
    <w:div w:id="1494448678">
      <w:bodyDiv w:val="1"/>
      <w:marLeft w:val="0"/>
      <w:marRight w:val="0"/>
      <w:marTop w:val="0"/>
      <w:marBottom w:val="0"/>
      <w:divBdr>
        <w:top w:val="none" w:sz="0" w:space="0" w:color="auto"/>
        <w:left w:val="none" w:sz="0" w:space="0" w:color="auto"/>
        <w:bottom w:val="none" w:sz="0" w:space="0" w:color="auto"/>
        <w:right w:val="none" w:sz="0" w:space="0" w:color="auto"/>
      </w:divBdr>
    </w:div>
    <w:div w:id="1512911101">
      <w:bodyDiv w:val="1"/>
      <w:marLeft w:val="0"/>
      <w:marRight w:val="0"/>
      <w:marTop w:val="0"/>
      <w:marBottom w:val="0"/>
      <w:divBdr>
        <w:top w:val="none" w:sz="0" w:space="0" w:color="auto"/>
        <w:left w:val="none" w:sz="0" w:space="0" w:color="auto"/>
        <w:bottom w:val="none" w:sz="0" w:space="0" w:color="auto"/>
        <w:right w:val="none" w:sz="0" w:space="0" w:color="auto"/>
      </w:divBdr>
    </w:div>
    <w:div w:id="1610157414">
      <w:bodyDiv w:val="1"/>
      <w:marLeft w:val="0"/>
      <w:marRight w:val="0"/>
      <w:marTop w:val="0"/>
      <w:marBottom w:val="0"/>
      <w:divBdr>
        <w:top w:val="none" w:sz="0" w:space="0" w:color="auto"/>
        <w:left w:val="none" w:sz="0" w:space="0" w:color="auto"/>
        <w:bottom w:val="none" w:sz="0" w:space="0" w:color="auto"/>
        <w:right w:val="none" w:sz="0" w:space="0" w:color="auto"/>
      </w:divBdr>
    </w:div>
    <w:div w:id="1651640934">
      <w:bodyDiv w:val="1"/>
      <w:marLeft w:val="0"/>
      <w:marRight w:val="0"/>
      <w:marTop w:val="0"/>
      <w:marBottom w:val="0"/>
      <w:divBdr>
        <w:top w:val="none" w:sz="0" w:space="0" w:color="auto"/>
        <w:left w:val="none" w:sz="0" w:space="0" w:color="auto"/>
        <w:bottom w:val="none" w:sz="0" w:space="0" w:color="auto"/>
        <w:right w:val="none" w:sz="0" w:space="0" w:color="auto"/>
      </w:divBdr>
    </w:div>
    <w:div w:id="1959411892">
      <w:bodyDiv w:val="1"/>
      <w:marLeft w:val="0"/>
      <w:marRight w:val="0"/>
      <w:marTop w:val="0"/>
      <w:marBottom w:val="0"/>
      <w:divBdr>
        <w:top w:val="none" w:sz="0" w:space="0" w:color="auto"/>
        <w:left w:val="none" w:sz="0" w:space="0" w:color="auto"/>
        <w:bottom w:val="none" w:sz="0" w:space="0" w:color="auto"/>
        <w:right w:val="none" w:sz="0" w:space="0" w:color="auto"/>
      </w:divBdr>
    </w:div>
    <w:div w:id="1980647490">
      <w:bodyDiv w:val="1"/>
      <w:marLeft w:val="0"/>
      <w:marRight w:val="0"/>
      <w:marTop w:val="0"/>
      <w:marBottom w:val="0"/>
      <w:divBdr>
        <w:top w:val="none" w:sz="0" w:space="0" w:color="auto"/>
        <w:left w:val="none" w:sz="0" w:space="0" w:color="auto"/>
        <w:bottom w:val="none" w:sz="0" w:space="0" w:color="auto"/>
        <w:right w:val="none" w:sz="0" w:space="0" w:color="auto"/>
      </w:divBdr>
    </w:div>
    <w:div w:id="2095780834">
      <w:bodyDiv w:val="1"/>
      <w:marLeft w:val="0"/>
      <w:marRight w:val="0"/>
      <w:marTop w:val="0"/>
      <w:marBottom w:val="0"/>
      <w:divBdr>
        <w:top w:val="none" w:sz="0" w:space="0" w:color="auto"/>
        <w:left w:val="none" w:sz="0" w:space="0" w:color="auto"/>
        <w:bottom w:val="none" w:sz="0" w:space="0" w:color="auto"/>
        <w:right w:val="none" w:sz="0" w:space="0" w:color="auto"/>
      </w:divBdr>
    </w:div>
    <w:div w:id="210229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288</Words>
  <Characters>1647</Characters>
  <Application>Microsoft Office Word</Application>
  <DocSecurity>0</DocSecurity>
  <Lines>13</Lines>
  <Paragraphs>3</Paragraphs>
  <ScaleCrop>false</ScaleCrop>
  <Company>TWSE 臺灣證券交易所</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劉怡芬</dc:creator>
  <cp:keywords/>
  <dc:description/>
  <cp:lastModifiedBy>鐘珮心</cp:lastModifiedBy>
  <cp:revision>39</cp:revision>
  <cp:lastPrinted>2020-12-04T01:31:00Z</cp:lastPrinted>
  <dcterms:created xsi:type="dcterms:W3CDTF">2020-11-25T01:41:00Z</dcterms:created>
  <dcterms:modified xsi:type="dcterms:W3CDTF">2021-02-22T02:58:00Z</dcterms:modified>
</cp:coreProperties>
</file>